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CBE8F" w14:textId="2A8F9CAB" w:rsidR="00473781" w:rsidRDefault="00AA5784" w:rsidP="00057E4F">
      <w:pPr>
        <w:pStyle w:val="Heading1"/>
        <w:rPr>
          <w:b/>
          <w:bCs/>
        </w:rPr>
      </w:pPr>
      <w:bookmarkStart w:id="0" w:name="_Hlk99883266"/>
      <w:r>
        <w:rPr>
          <w:b/>
          <w:bCs/>
        </w:rPr>
        <w:tab/>
      </w:r>
      <w:r>
        <w:rPr>
          <w:b/>
          <w:bCs/>
        </w:rPr>
        <w:tab/>
      </w:r>
      <w:r>
        <w:rPr>
          <w:b/>
          <w:bCs/>
        </w:rPr>
        <w:tab/>
      </w:r>
      <w:r>
        <w:rPr>
          <w:b/>
          <w:bCs/>
        </w:rPr>
        <w:tab/>
      </w:r>
      <w:r>
        <w:rPr>
          <w:b/>
          <w:bCs/>
        </w:rPr>
        <w:tab/>
      </w:r>
      <w:r>
        <w:rPr>
          <w:b/>
          <w:bCs/>
        </w:rPr>
        <w:tab/>
      </w:r>
      <w:r>
        <w:rPr>
          <w:b/>
          <w:bCs/>
        </w:rPr>
        <w:tab/>
      </w:r>
    </w:p>
    <w:p w14:paraId="204FB909" w14:textId="3BFAA1CE" w:rsidR="00473781" w:rsidRDefault="004D6E72" w:rsidP="00057E4F">
      <w:pPr>
        <w:pStyle w:val="Heading1"/>
      </w:pPr>
      <w:r>
        <w:rPr>
          <w:noProof/>
        </w:rPr>
        <w:drawing>
          <wp:inline distT="0" distB="0" distL="0" distR="0" wp14:anchorId="66FDA7F2" wp14:editId="6F491647">
            <wp:extent cx="2454819" cy="659091"/>
            <wp:effectExtent l="0" t="0" r="3175"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54819" cy="659091"/>
                    </a:xfrm>
                    <a:prstGeom prst="rect">
                      <a:avLst/>
                    </a:prstGeom>
                  </pic:spPr>
                </pic:pic>
              </a:graphicData>
            </a:graphic>
          </wp:inline>
        </w:drawing>
      </w:r>
    </w:p>
    <w:p w14:paraId="4B3554A3" w14:textId="77777777" w:rsidR="00473781" w:rsidRDefault="00473781" w:rsidP="00057E4F">
      <w:pPr>
        <w:pStyle w:val="Heading1"/>
        <w:rPr>
          <w:b/>
          <w:bCs/>
        </w:rPr>
      </w:pPr>
    </w:p>
    <w:p w14:paraId="19B5D65D" w14:textId="1A8EC00F" w:rsidR="00473781" w:rsidRDefault="003237DF" w:rsidP="00057E4F">
      <w:pPr>
        <w:pStyle w:val="Heading1"/>
        <w:rPr>
          <w:b/>
          <w:bCs/>
        </w:rPr>
      </w:pPr>
      <w:r>
        <w:rPr>
          <w:b/>
          <w:bCs/>
          <w:noProof/>
        </w:rPr>
        <w:drawing>
          <wp:anchor distT="0" distB="0" distL="114300" distR="114300" simplePos="0" relativeHeight="251658240" behindDoc="0" locked="0" layoutInCell="1" allowOverlap="1" wp14:anchorId="77F350C1" wp14:editId="2D89CD1E">
            <wp:simplePos x="717550" y="2882900"/>
            <wp:positionH relativeFrom="column">
              <wp:align>left</wp:align>
            </wp:positionH>
            <wp:positionV relativeFrom="paragraph">
              <wp:align>top</wp:align>
            </wp:positionV>
            <wp:extent cx="5730875" cy="1840865"/>
            <wp:effectExtent l="0" t="0" r="3175" b="6985"/>
            <wp:wrapSquare wrapText="bothSides"/>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30875" cy="1840865"/>
                    </a:xfrm>
                    <a:prstGeom prst="rect">
                      <a:avLst/>
                    </a:prstGeom>
                    <a:noFill/>
                  </pic:spPr>
                </pic:pic>
              </a:graphicData>
            </a:graphic>
          </wp:anchor>
        </w:drawing>
      </w:r>
      <w:r w:rsidR="0005373F">
        <w:rPr>
          <w:b/>
          <w:bCs/>
        </w:rPr>
        <w:br w:type="textWrapping" w:clear="all"/>
      </w:r>
    </w:p>
    <w:p w14:paraId="5D31E2A6" w14:textId="77777777" w:rsidR="00473781" w:rsidRDefault="00473781" w:rsidP="00057E4F">
      <w:pPr>
        <w:pStyle w:val="Heading1"/>
        <w:rPr>
          <w:b/>
          <w:bCs/>
        </w:rPr>
      </w:pPr>
    </w:p>
    <w:p w14:paraId="2B660250" w14:textId="0C5466C4" w:rsidR="00057E4F" w:rsidRDefault="00057E4F" w:rsidP="00473781">
      <w:pPr>
        <w:pStyle w:val="Heading1"/>
        <w:jc w:val="center"/>
        <w:rPr>
          <w:b/>
          <w:bCs/>
        </w:rPr>
      </w:pPr>
      <w:r w:rsidRPr="000B1D69">
        <w:rPr>
          <w:b/>
          <w:bCs/>
        </w:rPr>
        <w:t>Strategic Consultancy Grant - Terms of Reference</w:t>
      </w:r>
    </w:p>
    <w:p w14:paraId="517C5010" w14:textId="2A687947" w:rsidR="00473781" w:rsidRDefault="00473781" w:rsidP="00473781">
      <w:r>
        <w:tab/>
      </w:r>
      <w:r>
        <w:tab/>
      </w:r>
      <w:r>
        <w:tab/>
      </w:r>
      <w:r>
        <w:tab/>
      </w:r>
      <w:r>
        <w:tab/>
        <w:t xml:space="preserve">Revision </w:t>
      </w:r>
      <w:r w:rsidR="4004D9F9">
        <w:t>27</w:t>
      </w:r>
      <w:r w:rsidR="00F453CB">
        <w:t>.</w:t>
      </w:r>
      <w:r w:rsidR="49585CD1">
        <w:t>08</w:t>
      </w:r>
      <w:r w:rsidR="00F453CB">
        <w:t>.2024</w:t>
      </w:r>
    </w:p>
    <w:p w14:paraId="5DA324F0" w14:textId="77777777" w:rsidR="00BD4ACC" w:rsidRDefault="00BD4ACC" w:rsidP="00473781"/>
    <w:p w14:paraId="71063565" w14:textId="77777777" w:rsidR="00C34086" w:rsidRDefault="00C34086" w:rsidP="00BD4ACC">
      <w:pPr>
        <w:widowControl w:val="0"/>
        <w:autoSpaceDE w:val="0"/>
        <w:autoSpaceDN w:val="0"/>
        <w:spacing w:before="0" w:after="0"/>
        <w:rPr>
          <w:rFonts w:eastAsia="Calibri" w:cstheme="minorHAnsi"/>
          <w:b/>
          <w:bCs/>
          <w:lang w:val="en-US"/>
        </w:rPr>
      </w:pPr>
    </w:p>
    <w:p w14:paraId="718407E6" w14:textId="70EA8BE8" w:rsidR="00BD4ACC" w:rsidRPr="00BD4ACC" w:rsidRDefault="00BD4ACC" w:rsidP="00BD4ACC">
      <w:pPr>
        <w:widowControl w:val="0"/>
        <w:autoSpaceDE w:val="0"/>
        <w:autoSpaceDN w:val="0"/>
        <w:spacing w:before="0" w:after="0"/>
        <w:rPr>
          <w:rFonts w:eastAsia="Calibri" w:cstheme="minorHAnsi"/>
          <w:b/>
          <w:bCs/>
          <w:spacing w:val="-2"/>
          <w:lang w:val="en-US"/>
        </w:rPr>
      </w:pPr>
      <w:r w:rsidRPr="00BD4ACC">
        <w:rPr>
          <w:rFonts w:eastAsia="Calibri" w:cstheme="minorHAnsi"/>
          <w:b/>
          <w:bCs/>
          <w:lang w:val="en-US"/>
        </w:rPr>
        <w:t xml:space="preserve">Version Control </w:t>
      </w:r>
    </w:p>
    <w:p w14:paraId="712FFB90" w14:textId="77777777" w:rsidR="00BD4ACC" w:rsidRPr="00BD4ACC" w:rsidRDefault="00BD4ACC" w:rsidP="00BD4ACC">
      <w:pPr>
        <w:widowControl w:val="0"/>
        <w:autoSpaceDE w:val="0"/>
        <w:autoSpaceDN w:val="0"/>
        <w:spacing w:before="4" w:after="0"/>
        <w:rPr>
          <w:rFonts w:eastAsia="Calibri" w:cstheme="minorHAnsi"/>
          <w:sz w:val="22"/>
          <w:szCs w:val="22"/>
          <w:lang w:val="en-US"/>
        </w:rPr>
      </w:pPr>
    </w:p>
    <w:tbl>
      <w:tblPr>
        <w:tblW w:w="940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61"/>
        <w:gridCol w:w="5640"/>
      </w:tblGrid>
      <w:tr w:rsidR="00BD4ACC" w:rsidRPr="00BD4ACC" w14:paraId="6E450B28" w14:textId="77777777" w:rsidTr="51DD1218">
        <w:trPr>
          <w:trHeight w:val="268"/>
        </w:trPr>
        <w:tc>
          <w:tcPr>
            <w:tcW w:w="3761" w:type="dxa"/>
            <w:shd w:val="clear" w:color="auto" w:fill="auto"/>
          </w:tcPr>
          <w:p w14:paraId="58D2AAA3" w14:textId="77777777" w:rsidR="00BD4ACC" w:rsidRPr="00BD4ACC" w:rsidRDefault="00BD4ACC" w:rsidP="00BD4ACC">
            <w:pPr>
              <w:widowControl w:val="0"/>
              <w:autoSpaceDE w:val="0"/>
              <w:autoSpaceDN w:val="0"/>
              <w:spacing w:before="0" w:after="0" w:line="248" w:lineRule="exact"/>
              <w:ind w:left="107"/>
              <w:rPr>
                <w:rFonts w:eastAsia="Calibri" w:cstheme="minorHAnsi"/>
                <w:b/>
                <w:spacing w:val="-2"/>
                <w:sz w:val="22"/>
                <w:szCs w:val="22"/>
                <w:lang w:val="en-US"/>
              </w:rPr>
            </w:pPr>
            <w:r w:rsidRPr="00BD4ACC">
              <w:rPr>
                <w:rFonts w:eastAsia="Calibri" w:cstheme="minorHAnsi"/>
                <w:b/>
                <w:sz w:val="22"/>
                <w:szCs w:val="22"/>
                <w:lang w:val="en-US"/>
              </w:rPr>
              <w:t>Title</w:t>
            </w:r>
            <w:r w:rsidRPr="00BD4ACC">
              <w:rPr>
                <w:rFonts w:eastAsia="Calibri" w:cstheme="minorHAnsi"/>
                <w:b/>
                <w:spacing w:val="-3"/>
                <w:sz w:val="22"/>
                <w:szCs w:val="22"/>
                <w:lang w:val="en-US"/>
              </w:rPr>
              <w:t xml:space="preserve"> </w:t>
            </w:r>
            <w:r w:rsidRPr="00BD4ACC">
              <w:rPr>
                <w:rFonts w:eastAsia="Calibri" w:cstheme="minorHAnsi"/>
                <w:b/>
                <w:sz w:val="22"/>
                <w:szCs w:val="22"/>
                <w:lang w:val="en-US"/>
              </w:rPr>
              <w:t>of</w:t>
            </w:r>
            <w:r w:rsidRPr="00BD4ACC">
              <w:rPr>
                <w:rFonts w:eastAsia="Calibri" w:cstheme="minorHAnsi"/>
                <w:b/>
                <w:spacing w:val="-3"/>
                <w:sz w:val="22"/>
                <w:szCs w:val="22"/>
                <w:lang w:val="en-US"/>
              </w:rPr>
              <w:t xml:space="preserve"> </w:t>
            </w:r>
            <w:r w:rsidRPr="00BD4ACC">
              <w:rPr>
                <w:rFonts w:eastAsia="Calibri" w:cstheme="minorHAnsi"/>
                <w:b/>
                <w:spacing w:val="-2"/>
                <w:sz w:val="22"/>
                <w:szCs w:val="22"/>
                <w:lang w:val="en-US"/>
              </w:rPr>
              <w:t>Document</w:t>
            </w:r>
          </w:p>
          <w:p w14:paraId="24E91BA3"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p>
        </w:tc>
        <w:tc>
          <w:tcPr>
            <w:tcW w:w="5640" w:type="dxa"/>
            <w:shd w:val="clear" w:color="auto" w:fill="auto"/>
          </w:tcPr>
          <w:p w14:paraId="382493C0" w14:textId="77777777" w:rsidR="00BD4ACC" w:rsidRPr="00BD4ACC" w:rsidRDefault="00BD4ACC" w:rsidP="00BD4ACC">
            <w:pPr>
              <w:widowControl w:val="0"/>
              <w:autoSpaceDE w:val="0"/>
              <w:autoSpaceDN w:val="0"/>
              <w:spacing w:before="0" w:after="0" w:line="248" w:lineRule="exact"/>
              <w:rPr>
                <w:rFonts w:eastAsia="Calibri" w:cstheme="minorHAnsi"/>
                <w:sz w:val="22"/>
                <w:szCs w:val="22"/>
                <w:lang w:val="en-US"/>
              </w:rPr>
            </w:pPr>
            <w:r w:rsidRPr="00BD4ACC">
              <w:rPr>
                <w:rFonts w:eastAsia="Calibri" w:cstheme="minorHAnsi"/>
                <w:sz w:val="22"/>
                <w:szCs w:val="22"/>
                <w:lang w:val="en-US"/>
              </w:rPr>
              <w:t>Strategic Consultancy Grant - Terms of Reference</w:t>
            </w:r>
          </w:p>
        </w:tc>
      </w:tr>
      <w:tr w:rsidR="00BD4ACC" w:rsidRPr="00BD4ACC" w14:paraId="354F2C60" w14:textId="77777777" w:rsidTr="51DD1218">
        <w:trPr>
          <w:trHeight w:val="268"/>
        </w:trPr>
        <w:tc>
          <w:tcPr>
            <w:tcW w:w="3761" w:type="dxa"/>
            <w:shd w:val="clear" w:color="auto" w:fill="auto"/>
          </w:tcPr>
          <w:p w14:paraId="69C9F8A3"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Version</w:t>
            </w:r>
            <w:r w:rsidRPr="00BD4ACC">
              <w:rPr>
                <w:rFonts w:eastAsia="Calibri" w:cstheme="minorHAnsi"/>
                <w:b/>
                <w:spacing w:val="-5"/>
                <w:sz w:val="22"/>
                <w:szCs w:val="22"/>
                <w:lang w:val="en-US"/>
              </w:rPr>
              <w:t xml:space="preserve"> No.</w:t>
            </w:r>
          </w:p>
        </w:tc>
        <w:tc>
          <w:tcPr>
            <w:tcW w:w="5640" w:type="dxa"/>
            <w:shd w:val="clear" w:color="auto" w:fill="auto"/>
          </w:tcPr>
          <w:p w14:paraId="365350CA" w14:textId="1D561E7C" w:rsidR="00BD4ACC" w:rsidRPr="00BD4ACC" w:rsidRDefault="009A60BE" w:rsidP="51DD1218">
            <w:pPr>
              <w:widowControl w:val="0"/>
              <w:autoSpaceDE w:val="0"/>
              <w:autoSpaceDN w:val="0"/>
              <w:spacing w:before="0" w:after="0" w:line="248" w:lineRule="exact"/>
              <w:rPr>
                <w:rFonts w:eastAsia="Calibri"/>
                <w:sz w:val="22"/>
                <w:szCs w:val="22"/>
                <w:lang w:val="en-US"/>
              </w:rPr>
            </w:pPr>
            <w:r w:rsidRPr="51DD1218">
              <w:rPr>
                <w:rFonts w:eastAsia="Calibri"/>
                <w:sz w:val="22"/>
                <w:szCs w:val="22"/>
                <w:lang w:val="en-US"/>
              </w:rPr>
              <w:t xml:space="preserve">Version </w:t>
            </w:r>
            <w:r w:rsidR="4362CCC4" w:rsidRPr="51DD1218">
              <w:rPr>
                <w:rFonts w:eastAsia="Calibri"/>
                <w:sz w:val="22"/>
                <w:szCs w:val="22"/>
                <w:lang w:val="en-US"/>
              </w:rPr>
              <w:t>8</w:t>
            </w:r>
          </w:p>
        </w:tc>
      </w:tr>
      <w:tr w:rsidR="00BD4ACC" w:rsidRPr="00BD4ACC" w14:paraId="61B9D336" w14:textId="77777777" w:rsidTr="51DD1218">
        <w:trPr>
          <w:trHeight w:val="268"/>
        </w:trPr>
        <w:tc>
          <w:tcPr>
            <w:tcW w:w="3761" w:type="dxa"/>
            <w:shd w:val="clear" w:color="auto" w:fill="auto"/>
          </w:tcPr>
          <w:p w14:paraId="3966344B"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Name and Role of Document</w:t>
            </w:r>
            <w:r w:rsidRPr="00BD4ACC">
              <w:rPr>
                <w:rFonts w:eastAsia="Calibri" w:cstheme="minorHAnsi"/>
                <w:b/>
                <w:spacing w:val="-7"/>
                <w:sz w:val="22"/>
                <w:szCs w:val="22"/>
                <w:lang w:val="en-US"/>
              </w:rPr>
              <w:t xml:space="preserve"> </w:t>
            </w:r>
            <w:r w:rsidRPr="00BD4ACC">
              <w:rPr>
                <w:rFonts w:eastAsia="Calibri" w:cstheme="minorHAnsi"/>
                <w:b/>
                <w:spacing w:val="-2"/>
                <w:sz w:val="22"/>
                <w:szCs w:val="22"/>
                <w:lang w:val="en-US"/>
              </w:rPr>
              <w:t>Owner</w:t>
            </w:r>
          </w:p>
        </w:tc>
        <w:tc>
          <w:tcPr>
            <w:tcW w:w="5640" w:type="dxa"/>
            <w:shd w:val="clear" w:color="auto" w:fill="auto"/>
          </w:tcPr>
          <w:p w14:paraId="5844C802" w14:textId="796B8954" w:rsidR="00BD4ACC" w:rsidRPr="00BD4ACC" w:rsidRDefault="00C34086" w:rsidP="00BD4ACC">
            <w:pPr>
              <w:widowControl w:val="0"/>
              <w:autoSpaceDE w:val="0"/>
              <w:autoSpaceDN w:val="0"/>
              <w:spacing w:before="0" w:after="0" w:line="248" w:lineRule="exact"/>
              <w:rPr>
                <w:rFonts w:eastAsia="Calibri" w:cstheme="minorHAnsi"/>
                <w:sz w:val="22"/>
                <w:szCs w:val="22"/>
                <w:lang w:val="en-US"/>
              </w:rPr>
            </w:pPr>
            <w:r>
              <w:rPr>
                <w:rFonts w:eastAsia="Calibri" w:cstheme="minorHAnsi"/>
                <w:sz w:val="22"/>
                <w:szCs w:val="22"/>
                <w:lang w:val="en-US"/>
              </w:rPr>
              <w:t>Department Manager, Product Portfolio Management</w:t>
            </w:r>
          </w:p>
        </w:tc>
      </w:tr>
      <w:tr w:rsidR="00BD4ACC" w:rsidRPr="00BD4ACC" w14:paraId="422DF901" w14:textId="77777777" w:rsidTr="51DD1218">
        <w:trPr>
          <w:trHeight w:val="450"/>
        </w:trPr>
        <w:tc>
          <w:tcPr>
            <w:tcW w:w="3761" w:type="dxa"/>
            <w:shd w:val="clear" w:color="auto" w:fill="auto"/>
          </w:tcPr>
          <w:p w14:paraId="30E89A55" w14:textId="77777777" w:rsidR="00BD4ACC" w:rsidRPr="00BD4ACC" w:rsidRDefault="00BD4ACC" w:rsidP="00BD4ACC">
            <w:pPr>
              <w:widowControl w:val="0"/>
              <w:autoSpaceDE w:val="0"/>
              <w:autoSpaceDN w:val="0"/>
              <w:spacing w:before="0" w:after="0" w:line="268" w:lineRule="exact"/>
              <w:ind w:left="107"/>
              <w:rPr>
                <w:rFonts w:eastAsia="Calibri" w:cstheme="minorHAnsi"/>
                <w:b/>
                <w:sz w:val="22"/>
                <w:szCs w:val="22"/>
                <w:lang w:val="en-US"/>
              </w:rPr>
            </w:pPr>
            <w:r w:rsidRPr="00BD4ACC">
              <w:rPr>
                <w:rFonts w:eastAsia="Calibri" w:cstheme="minorHAnsi"/>
                <w:b/>
                <w:sz w:val="22"/>
                <w:szCs w:val="22"/>
                <w:lang w:val="en-US"/>
              </w:rPr>
              <w:t>Reviewing</w:t>
            </w:r>
            <w:r w:rsidRPr="00BD4ACC">
              <w:rPr>
                <w:rFonts w:eastAsia="Calibri" w:cstheme="minorHAnsi"/>
                <w:b/>
                <w:spacing w:val="-8"/>
                <w:sz w:val="22"/>
                <w:szCs w:val="22"/>
                <w:lang w:val="en-US"/>
              </w:rPr>
              <w:t xml:space="preserve"> </w:t>
            </w:r>
            <w:r w:rsidRPr="00BD4ACC">
              <w:rPr>
                <w:rFonts w:eastAsia="Calibri" w:cstheme="minorHAnsi"/>
                <w:b/>
                <w:spacing w:val="-2"/>
                <w:sz w:val="22"/>
                <w:szCs w:val="22"/>
                <w:lang w:val="en-US"/>
              </w:rPr>
              <w:t>Committees</w:t>
            </w:r>
          </w:p>
        </w:tc>
        <w:tc>
          <w:tcPr>
            <w:tcW w:w="5640" w:type="dxa"/>
            <w:shd w:val="clear" w:color="auto" w:fill="auto"/>
          </w:tcPr>
          <w:p w14:paraId="66756EF1" w14:textId="77777777" w:rsidR="00BD4ACC" w:rsidRPr="00BD4ACC" w:rsidRDefault="00BD4ACC" w:rsidP="00BD4ACC">
            <w:pPr>
              <w:widowControl w:val="0"/>
              <w:autoSpaceDE w:val="0"/>
              <w:autoSpaceDN w:val="0"/>
              <w:spacing w:before="0" w:after="0" w:line="249" w:lineRule="exact"/>
              <w:rPr>
                <w:rFonts w:eastAsia="Calibri" w:cstheme="minorHAnsi"/>
                <w:sz w:val="22"/>
                <w:szCs w:val="22"/>
                <w:lang w:val="en-US"/>
              </w:rPr>
            </w:pPr>
            <w:r w:rsidRPr="00BD4ACC">
              <w:rPr>
                <w:rFonts w:eastAsia="Calibri" w:cstheme="minorHAnsi"/>
                <w:sz w:val="22"/>
                <w:szCs w:val="22"/>
                <w:lang w:val="en-US"/>
              </w:rPr>
              <w:t>Executive Committee</w:t>
            </w:r>
          </w:p>
        </w:tc>
      </w:tr>
      <w:tr w:rsidR="00BD4ACC" w:rsidRPr="00BD4ACC" w14:paraId="6438BF88" w14:textId="77777777" w:rsidTr="51DD1218">
        <w:trPr>
          <w:trHeight w:val="268"/>
        </w:trPr>
        <w:tc>
          <w:tcPr>
            <w:tcW w:w="3761" w:type="dxa"/>
            <w:shd w:val="clear" w:color="auto" w:fill="auto"/>
          </w:tcPr>
          <w:p w14:paraId="78B672F4"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Date</w:t>
            </w:r>
            <w:r w:rsidRPr="00BD4ACC">
              <w:rPr>
                <w:rFonts w:eastAsia="Calibri" w:cstheme="minorHAnsi"/>
                <w:b/>
                <w:spacing w:val="-2"/>
                <w:sz w:val="22"/>
                <w:szCs w:val="22"/>
                <w:lang w:val="en-US"/>
              </w:rPr>
              <w:t xml:space="preserve"> </w:t>
            </w:r>
            <w:r w:rsidRPr="00BD4ACC">
              <w:rPr>
                <w:rFonts w:eastAsia="Calibri" w:cstheme="minorHAnsi"/>
                <w:b/>
                <w:sz w:val="22"/>
                <w:szCs w:val="22"/>
                <w:lang w:val="en-US"/>
              </w:rPr>
              <w:t>of</w:t>
            </w:r>
            <w:r w:rsidRPr="00BD4ACC">
              <w:rPr>
                <w:rFonts w:eastAsia="Calibri" w:cstheme="minorHAnsi"/>
                <w:b/>
                <w:spacing w:val="-3"/>
                <w:sz w:val="22"/>
                <w:szCs w:val="22"/>
                <w:lang w:val="en-US"/>
              </w:rPr>
              <w:t xml:space="preserve"> </w:t>
            </w:r>
            <w:r w:rsidRPr="00BD4ACC">
              <w:rPr>
                <w:rFonts w:eastAsia="Calibri" w:cstheme="minorHAnsi"/>
                <w:b/>
                <w:sz w:val="22"/>
                <w:szCs w:val="22"/>
                <w:lang w:val="en-US"/>
              </w:rPr>
              <w:t>Next</w:t>
            </w:r>
            <w:r w:rsidRPr="00BD4ACC">
              <w:rPr>
                <w:rFonts w:eastAsia="Calibri" w:cstheme="minorHAnsi"/>
                <w:b/>
                <w:spacing w:val="-4"/>
                <w:sz w:val="22"/>
                <w:szCs w:val="22"/>
                <w:lang w:val="en-US"/>
              </w:rPr>
              <w:t xml:space="preserve"> </w:t>
            </w:r>
            <w:r w:rsidRPr="00BD4ACC">
              <w:rPr>
                <w:rFonts w:eastAsia="Calibri" w:cstheme="minorHAnsi"/>
                <w:b/>
                <w:spacing w:val="-2"/>
                <w:sz w:val="22"/>
                <w:szCs w:val="22"/>
                <w:lang w:val="en-US"/>
              </w:rPr>
              <w:t>Review</w:t>
            </w:r>
          </w:p>
        </w:tc>
        <w:tc>
          <w:tcPr>
            <w:tcW w:w="5640" w:type="dxa"/>
            <w:shd w:val="clear" w:color="auto" w:fill="auto"/>
          </w:tcPr>
          <w:p w14:paraId="0A64E172" w14:textId="77777777" w:rsidR="00BD4ACC" w:rsidRPr="00BD4ACC" w:rsidRDefault="00BD4ACC" w:rsidP="00BD4ACC">
            <w:pPr>
              <w:widowControl w:val="0"/>
              <w:autoSpaceDE w:val="0"/>
              <w:autoSpaceDN w:val="0"/>
              <w:spacing w:before="0" w:after="0" w:line="248" w:lineRule="exact"/>
              <w:rPr>
                <w:rFonts w:eastAsia="Calibri" w:cstheme="minorHAnsi"/>
                <w:sz w:val="22"/>
                <w:szCs w:val="22"/>
                <w:lang w:val="en-US"/>
              </w:rPr>
            </w:pPr>
            <w:r w:rsidRPr="00BD4ACC">
              <w:rPr>
                <w:rFonts w:eastAsia="Calibri" w:cstheme="minorHAnsi"/>
                <w:sz w:val="22"/>
                <w:szCs w:val="22"/>
                <w:lang w:val="en-US"/>
              </w:rPr>
              <w:t>As required</w:t>
            </w:r>
          </w:p>
          <w:p w14:paraId="5B298DFB" w14:textId="77777777" w:rsidR="00BD4ACC" w:rsidRPr="00BD4ACC" w:rsidRDefault="00BD4ACC" w:rsidP="00BD4ACC">
            <w:pPr>
              <w:widowControl w:val="0"/>
              <w:autoSpaceDE w:val="0"/>
              <w:autoSpaceDN w:val="0"/>
              <w:spacing w:before="0" w:after="0" w:line="248" w:lineRule="exact"/>
              <w:rPr>
                <w:rFonts w:eastAsia="Calibri" w:cstheme="minorHAnsi"/>
                <w:sz w:val="22"/>
                <w:szCs w:val="22"/>
                <w:lang w:val="en-US"/>
              </w:rPr>
            </w:pPr>
          </w:p>
        </w:tc>
      </w:tr>
      <w:tr w:rsidR="00BD4ACC" w:rsidRPr="00BD4ACC" w14:paraId="313C930E" w14:textId="77777777" w:rsidTr="51DD1218">
        <w:trPr>
          <w:trHeight w:val="268"/>
        </w:trPr>
        <w:tc>
          <w:tcPr>
            <w:tcW w:w="3761" w:type="dxa"/>
            <w:shd w:val="clear" w:color="auto" w:fill="auto"/>
          </w:tcPr>
          <w:p w14:paraId="7018AD14"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Frequency</w:t>
            </w:r>
            <w:r w:rsidRPr="00BD4ACC">
              <w:rPr>
                <w:rFonts w:eastAsia="Calibri" w:cstheme="minorHAnsi"/>
                <w:b/>
                <w:spacing w:val="-3"/>
                <w:sz w:val="22"/>
                <w:szCs w:val="22"/>
                <w:lang w:val="en-US"/>
              </w:rPr>
              <w:t xml:space="preserve"> </w:t>
            </w:r>
            <w:r w:rsidRPr="00BD4ACC">
              <w:rPr>
                <w:rFonts w:eastAsia="Calibri" w:cstheme="minorHAnsi"/>
                <w:b/>
                <w:sz w:val="22"/>
                <w:szCs w:val="22"/>
                <w:lang w:val="en-US"/>
              </w:rPr>
              <w:t>of</w:t>
            </w:r>
            <w:r w:rsidRPr="00BD4ACC">
              <w:rPr>
                <w:rFonts w:eastAsia="Calibri" w:cstheme="minorHAnsi"/>
                <w:b/>
                <w:spacing w:val="-3"/>
                <w:sz w:val="22"/>
                <w:szCs w:val="22"/>
                <w:lang w:val="en-US"/>
              </w:rPr>
              <w:t xml:space="preserve"> </w:t>
            </w:r>
            <w:r w:rsidRPr="00BD4ACC">
              <w:rPr>
                <w:rFonts w:eastAsia="Calibri" w:cstheme="minorHAnsi"/>
                <w:b/>
                <w:spacing w:val="-2"/>
                <w:sz w:val="22"/>
                <w:szCs w:val="22"/>
                <w:lang w:val="en-US"/>
              </w:rPr>
              <w:t>Review</w:t>
            </w:r>
          </w:p>
        </w:tc>
        <w:tc>
          <w:tcPr>
            <w:tcW w:w="5640" w:type="dxa"/>
            <w:shd w:val="clear" w:color="auto" w:fill="auto"/>
          </w:tcPr>
          <w:p w14:paraId="7DB4CEF3" w14:textId="77777777" w:rsidR="00BD4ACC" w:rsidRPr="00BD4ACC" w:rsidRDefault="00BD4ACC" w:rsidP="00BD4ACC">
            <w:pPr>
              <w:widowControl w:val="0"/>
              <w:autoSpaceDE w:val="0"/>
              <w:autoSpaceDN w:val="0"/>
              <w:spacing w:before="0" w:after="0" w:line="248" w:lineRule="exact"/>
              <w:rPr>
                <w:rFonts w:eastAsia="Calibri" w:cstheme="minorHAnsi"/>
                <w:spacing w:val="-2"/>
                <w:sz w:val="22"/>
                <w:szCs w:val="22"/>
                <w:lang w:val="en-US"/>
              </w:rPr>
            </w:pPr>
            <w:r w:rsidRPr="00BD4ACC">
              <w:rPr>
                <w:rFonts w:eastAsia="Calibri" w:cstheme="minorHAnsi"/>
                <w:spacing w:val="-2"/>
                <w:sz w:val="22"/>
                <w:szCs w:val="22"/>
                <w:lang w:val="en-US"/>
              </w:rPr>
              <w:t>As required</w:t>
            </w:r>
          </w:p>
          <w:p w14:paraId="1C7435B1" w14:textId="77777777" w:rsidR="00BD4ACC" w:rsidRPr="00BD4ACC" w:rsidRDefault="00BD4ACC" w:rsidP="00BD4ACC">
            <w:pPr>
              <w:widowControl w:val="0"/>
              <w:autoSpaceDE w:val="0"/>
              <w:autoSpaceDN w:val="0"/>
              <w:spacing w:before="0" w:after="0" w:line="248" w:lineRule="exact"/>
              <w:rPr>
                <w:rFonts w:eastAsia="Calibri" w:cstheme="minorHAnsi"/>
                <w:sz w:val="22"/>
                <w:szCs w:val="22"/>
                <w:lang w:val="en-US"/>
              </w:rPr>
            </w:pPr>
          </w:p>
        </w:tc>
      </w:tr>
      <w:tr w:rsidR="00BD4ACC" w:rsidRPr="00BD4ACC" w14:paraId="3EE19B42" w14:textId="77777777" w:rsidTr="51DD1218">
        <w:trPr>
          <w:trHeight w:val="538"/>
        </w:trPr>
        <w:tc>
          <w:tcPr>
            <w:tcW w:w="3761" w:type="dxa"/>
            <w:shd w:val="clear" w:color="auto" w:fill="auto"/>
          </w:tcPr>
          <w:p w14:paraId="7BE24C0F" w14:textId="77777777" w:rsidR="00BD4ACC" w:rsidRPr="00BD4ACC" w:rsidRDefault="00BD4ACC" w:rsidP="00BD4ACC">
            <w:pPr>
              <w:widowControl w:val="0"/>
              <w:autoSpaceDE w:val="0"/>
              <w:autoSpaceDN w:val="0"/>
              <w:spacing w:before="0" w:after="0" w:line="268" w:lineRule="exact"/>
              <w:ind w:left="107"/>
              <w:rPr>
                <w:rFonts w:eastAsia="Calibri" w:cstheme="minorHAnsi"/>
                <w:b/>
                <w:sz w:val="22"/>
                <w:szCs w:val="22"/>
                <w:lang w:val="en-US"/>
              </w:rPr>
            </w:pPr>
            <w:r w:rsidRPr="00BD4ACC">
              <w:rPr>
                <w:rFonts w:eastAsia="Calibri" w:cstheme="minorHAnsi"/>
                <w:b/>
                <w:spacing w:val="-2"/>
                <w:sz w:val="22"/>
                <w:szCs w:val="22"/>
                <w:lang w:val="en-US"/>
              </w:rPr>
              <w:t>Filing Location</w:t>
            </w:r>
          </w:p>
        </w:tc>
        <w:tc>
          <w:tcPr>
            <w:tcW w:w="5640" w:type="dxa"/>
            <w:shd w:val="clear" w:color="auto" w:fill="auto"/>
          </w:tcPr>
          <w:p w14:paraId="1F8131BE" w14:textId="77777777" w:rsidR="000B7C8D" w:rsidRPr="00C34086" w:rsidRDefault="00AE107E" w:rsidP="000B7C8D">
            <w:pPr>
              <w:rPr>
                <w:sz w:val="22"/>
                <w:szCs w:val="22"/>
              </w:rPr>
            </w:pPr>
            <w:hyperlink r:id="rId12" w:history="1">
              <w:r w:rsidR="000B7C8D" w:rsidRPr="00C34086">
                <w:rPr>
                  <w:rStyle w:val="Hyperlink"/>
                  <w:sz w:val="22"/>
                  <w:szCs w:val="22"/>
                </w:rPr>
                <w:t>The Guide to Supporting Clients - Terms of Reference - All Documents (sharepoint.com)</w:t>
              </w:r>
            </w:hyperlink>
          </w:p>
          <w:p w14:paraId="338CE2B2" w14:textId="6D0C90F6" w:rsidR="00BD4ACC" w:rsidRPr="00BD4ACC" w:rsidRDefault="00BD4ACC" w:rsidP="00BD4ACC">
            <w:pPr>
              <w:widowControl w:val="0"/>
              <w:autoSpaceDE w:val="0"/>
              <w:autoSpaceDN w:val="0"/>
              <w:spacing w:before="1" w:after="0" w:line="249" w:lineRule="exact"/>
              <w:rPr>
                <w:rFonts w:eastAsia="Calibri" w:cstheme="minorHAnsi"/>
                <w:sz w:val="22"/>
                <w:szCs w:val="22"/>
                <w:lang w:val="en-US"/>
              </w:rPr>
            </w:pPr>
          </w:p>
        </w:tc>
      </w:tr>
      <w:tr w:rsidR="00BD4ACC" w:rsidRPr="00BD4ACC" w14:paraId="56C43B0E" w14:textId="77777777" w:rsidTr="51DD1218">
        <w:trPr>
          <w:trHeight w:val="268"/>
        </w:trPr>
        <w:tc>
          <w:tcPr>
            <w:tcW w:w="3761" w:type="dxa"/>
            <w:shd w:val="clear" w:color="auto" w:fill="auto"/>
          </w:tcPr>
          <w:p w14:paraId="700E0F96"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Sharing</w:t>
            </w:r>
            <w:r w:rsidRPr="00BD4ACC">
              <w:rPr>
                <w:rFonts w:eastAsia="Calibri" w:cstheme="minorHAnsi"/>
                <w:b/>
                <w:spacing w:val="-8"/>
                <w:sz w:val="22"/>
                <w:szCs w:val="22"/>
                <w:lang w:val="en-US"/>
              </w:rPr>
              <w:t xml:space="preserve"> </w:t>
            </w:r>
            <w:r w:rsidRPr="00BD4ACC">
              <w:rPr>
                <w:rFonts w:eastAsia="Calibri" w:cstheme="minorHAnsi"/>
                <w:b/>
                <w:spacing w:val="-2"/>
                <w:sz w:val="22"/>
                <w:szCs w:val="22"/>
                <w:lang w:val="en-US"/>
              </w:rPr>
              <w:t>Rules</w:t>
            </w:r>
          </w:p>
        </w:tc>
        <w:tc>
          <w:tcPr>
            <w:tcW w:w="5640" w:type="dxa"/>
            <w:shd w:val="clear" w:color="auto" w:fill="auto"/>
          </w:tcPr>
          <w:p w14:paraId="6678DAD0" w14:textId="77777777" w:rsidR="00BD4ACC" w:rsidRPr="00BD4ACC" w:rsidRDefault="00BD4ACC" w:rsidP="00BD4ACC">
            <w:pPr>
              <w:widowControl w:val="0"/>
              <w:autoSpaceDE w:val="0"/>
              <w:autoSpaceDN w:val="0"/>
              <w:spacing w:before="0" w:after="0" w:line="248" w:lineRule="exact"/>
              <w:rPr>
                <w:rFonts w:eastAsia="Calibri" w:cstheme="minorHAnsi"/>
                <w:spacing w:val="-5"/>
                <w:sz w:val="22"/>
                <w:szCs w:val="22"/>
                <w:lang w:val="en-US"/>
              </w:rPr>
            </w:pPr>
            <w:r w:rsidRPr="00BD4ACC">
              <w:rPr>
                <w:rFonts w:eastAsia="Calibri" w:cstheme="minorHAnsi"/>
                <w:sz w:val="22"/>
                <w:szCs w:val="22"/>
                <w:lang w:val="en-US"/>
              </w:rPr>
              <w:t>Are</w:t>
            </w:r>
            <w:r w:rsidRPr="00BD4ACC">
              <w:rPr>
                <w:rFonts w:eastAsia="Calibri" w:cstheme="minorHAnsi"/>
                <w:spacing w:val="-4"/>
                <w:sz w:val="22"/>
                <w:szCs w:val="22"/>
                <w:lang w:val="en-US"/>
              </w:rPr>
              <w:t xml:space="preserve"> </w:t>
            </w:r>
            <w:r w:rsidRPr="00BD4ACC">
              <w:rPr>
                <w:rFonts w:eastAsia="Calibri" w:cstheme="minorHAnsi"/>
                <w:sz w:val="22"/>
                <w:szCs w:val="22"/>
                <w:lang w:val="en-US"/>
              </w:rPr>
              <w:t>there</w:t>
            </w:r>
            <w:r w:rsidRPr="00BD4ACC">
              <w:rPr>
                <w:rFonts w:eastAsia="Calibri" w:cstheme="minorHAnsi"/>
                <w:spacing w:val="-2"/>
                <w:sz w:val="22"/>
                <w:szCs w:val="22"/>
                <w:lang w:val="en-US"/>
              </w:rPr>
              <w:t xml:space="preserve"> </w:t>
            </w:r>
            <w:r w:rsidRPr="00BD4ACC">
              <w:rPr>
                <w:rFonts w:eastAsia="Calibri" w:cstheme="minorHAnsi"/>
                <w:sz w:val="22"/>
                <w:szCs w:val="22"/>
                <w:lang w:val="en-US"/>
              </w:rPr>
              <w:t>restrictions</w:t>
            </w:r>
            <w:r w:rsidRPr="00BD4ACC">
              <w:rPr>
                <w:rFonts w:eastAsia="Calibri" w:cstheme="minorHAnsi"/>
                <w:spacing w:val="-5"/>
                <w:sz w:val="22"/>
                <w:szCs w:val="22"/>
                <w:lang w:val="en-US"/>
              </w:rPr>
              <w:t xml:space="preserve"> </w:t>
            </w:r>
            <w:r w:rsidRPr="00BD4ACC">
              <w:rPr>
                <w:rFonts w:eastAsia="Calibri" w:cstheme="minorHAnsi"/>
                <w:sz w:val="22"/>
                <w:szCs w:val="22"/>
                <w:lang w:val="en-US"/>
              </w:rPr>
              <w:t>on</w:t>
            </w:r>
            <w:r w:rsidRPr="00BD4ACC">
              <w:rPr>
                <w:rFonts w:eastAsia="Calibri" w:cstheme="minorHAnsi"/>
                <w:spacing w:val="-4"/>
                <w:sz w:val="22"/>
                <w:szCs w:val="22"/>
                <w:lang w:val="en-US"/>
              </w:rPr>
              <w:t xml:space="preserve"> </w:t>
            </w:r>
            <w:r w:rsidRPr="00BD4ACC">
              <w:rPr>
                <w:rFonts w:eastAsia="Calibri" w:cstheme="minorHAnsi"/>
                <w:sz w:val="22"/>
                <w:szCs w:val="22"/>
                <w:lang w:val="en-US"/>
              </w:rPr>
              <w:t>sharing</w:t>
            </w:r>
            <w:r w:rsidRPr="00BD4ACC">
              <w:rPr>
                <w:rFonts w:eastAsia="Calibri" w:cstheme="minorHAnsi"/>
                <w:spacing w:val="-4"/>
                <w:sz w:val="22"/>
                <w:szCs w:val="22"/>
                <w:lang w:val="en-US"/>
              </w:rPr>
              <w:t xml:space="preserve"> </w:t>
            </w:r>
            <w:r w:rsidRPr="00BD4ACC">
              <w:rPr>
                <w:rFonts w:eastAsia="Calibri" w:cstheme="minorHAnsi"/>
                <w:sz w:val="22"/>
                <w:szCs w:val="22"/>
                <w:lang w:val="en-US"/>
              </w:rPr>
              <w:t>the</w:t>
            </w:r>
            <w:r w:rsidRPr="00BD4ACC">
              <w:rPr>
                <w:rFonts w:eastAsia="Calibri" w:cstheme="minorHAnsi"/>
                <w:spacing w:val="-2"/>
                <w:sz w:val="22"/>
                <w:szCs w:val="22"/>
                <w:lang w:val="en-US"/>
              </w:rPr>
              <w:t xml:space="preserve"> </w:t>
            </w:r>
            <w:r w:rsidRPr="00BD4ACC">
              <w:rPr>
                <w:rFonts w:eastAsia="Calibri" w:cstheme="minorHAnsi"/>
                <w:sz w:val="22"/>
                <w:szCs w:val="22"/>
                <w:lang w:val="en-US"/>
              </w:rPr>
              <w:t>policy:</w:t>
            </w:r>
            <w:r w:rsidRPr="00BD4ACC">
              <w:rPr>
                <w:rFonts w:eastAsia="Calibri" w:cstheme="minorHAnsi"/>
                <w:spacing w:val="-4"/>
                <w:sz w:val="22"/>
                <w:szCs w:val="22"/>
                <w:lang w:val="en-US"/>
              </w:rPr>
              <w:t xml:space="preserve"> </w:t>
            </w:r>
            <w:r w:rsidRPr="00BD4ACC">
              <w:rPr>
                <w:rFonts w:eastAsia="Calibri" w:cstheme="minorHAnsi"/>
                <w:spacing w:val="-5"/>
                <w:sz w:val="22"/>
                <w:szCs w:val="22"/>
                <w:lang w:val="en-US"/>
              </w:rPr>
              <w:t>No</w:t>
            </w:r>
          </w:p>
          <w:p w14:paraId="456F3800" w14:textId="77777777" w:rsidR="00BD4ACC" w:rsidRPr="00BD4ACC" w:rsidRDefault="00BD4ACC" w:rsidP="00BD4ACC">
            <w:pPr>
              <w:widowControl w:val="0"/>
              <w:autoSpaceDE w:val="0"/>
              <w:autoSpaceDN w:val="0"/>
              <w:spacing w:before="0" w:after="0" w:line="248" w:lineRule="exact"/>
              <w:rPr>
                <w:rFonts w:eastAsia="Calibri" w:cstheme="minorHAnsi"/>
                <w:color w:val="FF0000"/>
                <w:sz w:val="22"/>
                <w:szCs w:val="22"/>
                <w:lang w:val="en-US"/>
              </w:rPr>
            </w:pPr>
          </w:p>
        </w:tc>
      </w:tr>
    </w:tbl>
    <w:p w14:paraId="411A66DF" w14:textId="77777777" w:rsidR="00BD4ACC" w:rsidRDefault="00BD4ACC" w:rsidP="00BD4ACC">
      <w:pPr>
        <w:widowControl w:val="0"/>
        <w:autoSpaceDE w:val="0"/>
        <w:autoSpaceDN w:val="0"/>
        <w:spacing w:before="0" w:after="0"/>
        <w:ind w:firstLine="720"/>
        <w:rPr>
          <w:rFonts w:eastAsia="Calibri" w:cstheme="minorHAnsi"/>
          <w:sz w:val="22"/>
          <w:szCs w:val="22"/>
          <w:lang w:val="en-US"/>
        </w:rPr>
      </w:pPr>
    </w:p>
    <w:p w14:paraId="5193FB47" w14:textId="77777777" w:rsidR="00AE107E" w:rsidRDefault="00AE107E" w:rsidP="00BD4ACC">
      <w:pPr>
        <w:widowControl w:val="0"/>
        <w:autoSpaceDE w:val="0"/>
        <w:autoSpaceDN w:val="0"/>
        <w:spacing w:before="0" w:after="0"/>
        <w:ind w:firstLine="720"/>
        <w:rPr>
          <w:rFonts w:eastAsia="Calibri" w:cstheme="minorHAnsi"/>
          <w:sz w:val="22"/>
          <w:szCs w:val="22"/>
          <w:lang w:val="en-US"/>
        </w:rPr>
      </w:pPr>
    </w:p>
    <w:p w14:paraId="01D4735D" w14:textId="77777777" w:rsidR="00AE107E" w:rsidRDefault="00AE107E" w:rsidP="00BD4ACC">
      <w:pPr>
        <w:widowControl w:val="0"/>
        <w:autoSpaceDE w:val="0"/>
        <w:autoSpaceDN w:val="0"/>
        <w:spacing w:before="0" w:after="0"/>
        <w:ind w:firstLine="720"/>
        <w:rPr>
          <w:rFonts w:eastAsia="Calibri" w:cstheme="minorHAnsi"/>
          <w:sz w:val="22"/>
          <w:szCs w:val="22"/>
          <w:lang w:val="en-US"/>
        </w:rPr>
      </w:pPr>
    </w:p>
    <w:p w14:paraId="7DCAFC97" w14:textId="77777777" w:rsidR="00AE107E" w:rsidRPr="00BD4ACC" w:rsidRDefault="00AE107E" w:rsidP="00BD4ACC">
      <w:pPr>
        <w:widowControl w:val="0"/>
        <w:autoSpaceDE w:val="0"/>
        <w:autoSpaceDN w:val="0"/>
        <w:spacing w:before="0" w:after="0"/>
        <w:ind w:firstLine="720"/>
        <w:rPr>
          <w:rFonts w:eastAsia="Calibri" w:cstheme="minorHAnsi"/>
          <w:sz w:val="22"/>
          <w:szCs w:val="22"/>
          <w:lang w:val="en-US"/>
        </w:rPr>
      </w:pPr>
    </w:p>
    <w:p w14:paraId="2CE94A3C" w14:textId="77777777" w:rsidR="00BD4ACC" w:rsidRPr="00BD4ACC" w:rsidRDefault="00BD4ACC" w:rsidP="00BD4ACC">
      <w:pPr>
        <w:widowControl w:val="0"/>
        <w:autoSpaceDE w:val="0"/>
        <w:autoSpaceDN w:val="0"/>
        <w:spacing w:before="0" w:after="0"/>
        <w:ind w:firstLine="720"/>
        <w:rPr>
          <w:rFonts w:eastAsia="Calibri" w:cstheme="minorHAnsi"/>
          <w:sz w:val="22"/>
          <w:szCs w:val="22"/>
          <w:lang w:val="en-US"/>
        </w:rPr>
      </w:pPr>
    </w:p>
    <w:p w14:paraId="0CD1B5BE" w14:textId="77777777" w:rsidR="00BD4ACC" w:rsidRPr="00BD4ACC" w:rsidRDefault="00BD4ACC" w:rsidP="00BD4ACC">
      <w:pPr>
        <w:widowControl w:val="0"/>
        <w:autoSpaceDE w:val="0"/>
        <w:autoSpaceDN w:val="0"/>
        <w:spacing w:before="0" w:after="0"/>
        <w:rPr>
          <w:rFonts w:eastAsia="Calibri" w:cstheme="minorHAnsi"/>
          <w:b/>
          <w:bCs/>
          <w:spacing w:val="-2"/>
          <w:lang w:val="en-US"/>
        </w:rPr>
      </w:pPr>
      <w:r w:rsidRPr="00BD4ACC">
        <w:rPr>
          <w:rFonts w:eastAsia="Calibri" w:cstheme="minorHAnsi"/>
          <w:b/>
          <w:bCs/>
          <w:lang w:val="en-US"/>
        </w:rPr>
        <w:lastRenderedPageBreak/>
        <w:t xml:space="preserve">Document History </w:t>
      </w:r>
    </w:p>
    <w:p w14:paraId="6435FA9C" w14:textId="77777777" w:rsidR="00BD4ACC" w:rsidRPr="00BD4ACC" w:rsidRDefault="00BD4ACC" w:rsidP="00BD4ACC">
      <w:pPr>
        <w:widowControl w:val="0"/>
        <w:autoSpaceDE w:val="0"/>
        <w:autoSpaceDN w:val="0"/>
        <w:spacing w:before="4" w:after="0"/>
        <w:rPr>
          <w:rFonts w:eastAsia="Calibri" w:cstheme="minorHAnsi"/>
          <w:sz w:val="22"/>
          <w:szCs w:val="22"/>
          <w:lang w:val="en-US"/>
        </w:rPr>
      </w:pPr>
    </w:p>
    <w:tbl>
      <w:tblPr>
        <w:tblpPr w:leftFromText="180" w:rightFromText="180" w:vertAnchor="text" w:horzAnchor="margin" w:tblpY="40"/>
        <w:tblW w:w="93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85"/>
        <w:gridCol w:w="2969"/>
        <w:gridCol w:w="3067"/>
        <w:gridCol w:w="1967"/>
      </w:tblGrid>
      <w:tr w:rsidR="00BD4ACC" w:rsidRPr="00BD4ACC" w14:paraId="4CC45484" w14:textId="77777777">
        <w:trPr>
          <w:trHeight w:val="274"/>
        </w:trPr>
        <w:tc>
          <w:tcPr>
            <w:tcW w:w="1385" w:type="dxa"/>
          </w:tcPr>
          <w:p w14:paraId="05DC228B"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Review</w:t>
            </w:r>
            <w:r w:rsidRPr="00BD4ACC">
              <w:rPr>
                <w:rFonts w:eastAsia="Calibri" w:cstheme="minorHAnsi"/>
                <w:b/>
                <w:spacing w:val="-5"/>
                <w:sz w:val="22"/>
                <w:szCs w:val="22"/>
                <w:lang w:val="en-US"/>
              </w:rPr>
              <w:t xml:space="preserve"> No.</w:t>
            </w:r>
          </w:p>
        </w:tc>
        <w:tc>
          <w:tcPr>
            <w:tcW w:w="2969" w:type="dxa"/>
          </w:tcPr>
          <w:p w14:paraId="6925E93D" w14:textId="77777777" w:rsidR="00BD4ACC" w:rsidRPr="00BD4ACC" w:rsidRDefault="00BD4ACC" w:rsidP="00BD4ACC">
            <w:pPr>
              <w:widowControl w:val="0"/>
              <w:autoSpaceDE w:val="0"/>
              <w:autoSpaceDN w:val="0"/>
              <w:spacing w:before="0" w:after="0" w:line="248" w:lineRule="exact"/>
              <w:ind w:left="107"/>
              <w:rPr>
                <w:rFonts w:eastAsia="Calibri" w:cstheme="minorHAnsi"/>
                <w:b/>
                <w:spacing w:val="-2"/>
                <w:sz w:val="22"/>
                <w:szCs w:val="22"/>
                <w:lang w:val="en-US"/>
              </w:rPr>
            </w:pPr>
            <w:r w:rsidRPr="00BD4ACC">
              <w:rPr>
                <w:rFonts w:eastAsia="Calibri" w:cstheme="minorHAnsi"/>
                <w:b/>
                <w:sz w:val="22"/>
                <w:szCs w:val="22"/>
                <w:lang w:val="en-US"/>
              </w:rPr>
              <w:t>Approving</w:t>
            </w:r>
            <w:r w:rsidRPr="00BD4ACC">
              <w:rPr>
                <w:rFonts w:eastAsia="Calibri" w:cstheme="minorHAnsi"/>
                <w:b/>
                <w:spacing w:val="-8"/>
                <w:sz w:val="22"/>
                <w:szCs w:val="22"/>
                <w:lang w:val="en-US"/>
              </w:rPr>
              <w:t xml:space="preserve"> </w:t>
            </w:r>
            <w:r w:rsidRPr="00BD4ACC">
              <w:rPr>
                <w:rFonts w:eastAsia="Calibri" w:cstheme="minorHAnsi"/>
                <w:b/>
                <w:spacing w:val="-2"/>
                <w:sz w:val="22"/>
                <w:szCs w:val="22"/>
                <w:lang w:val="en-US"/>
              </w:rPr>
              <w:t>Committee</w:t>
            </w:r>
          </w:p>
          <w:p w14:paraId="6E71B295"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p>
        </w:tc>
        <w:tc>
          <w:tcPr>
            <w:tcW w:w="3067" w:type="dxa"/>
          </w:tcPr>
          <w:p w14:paraId="1ADCEDC6"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r w:rsidRPr="00BD4ACC">
              <w:rPr>
                <w:rFonts w:eastAsia="Calibri" w:cstheme="minorHAnsi"/>
                <w:b/>
                <w:sz w:val="22"/>
                <w:szCs w:val="22"/>
                <w:lang w:val="en-US"/>
              </w:rPr>
              <w:t>Approval</w:t>
            </w:r>
            <w:r w:rsidRPr="00BD4ACC">
              <w:rPr>
                <w:rFonts w:eastAsia="Calibri" w:cstheme="minorHAnsi"/>
                <w:b/>
                <w:spacing w:val="-6"/>
                <w:sz w:val="22"/>
                <w:szCs w:val="22"/>
                <w:lang w:val="en-US"/>
              </w:rPr>
              <w:t xml:space="preserve"> </w:t>
            </w:r>
            <w:r w:rsidRPr="00BD4ACC">
              <w:rPr>
                <w:rFonts w:eastAsia="Calibri" w:cstheme="minorHAnsi"/>
                <w:b/>
                <w:sz w:val="22"/>
                <w:szCs w:val="22"/>
                <w:lang w:val="en-US"/>
              </w:rPr>
              <w:t>Minute</w:t>
            </w:r>
            <w:r w:rsidRPr="00BD4ACC">
              <w:rPr>
                <w:rFonts w:eastAsia="Calibri" w:cstheme="minorHAnsi"/>
                <w:b/>
                <w:spacing w:val="-5"/>
                <w:sz w:val="22"/>
                <w:szCs w:val="22"/>
                <w:lang w:val="en-US"/>
              </w:rPr>
              <w:t xml:space="preserve"> </w:t>
            </w:r>
            <w:r w:rsidRPr="00BD4ACC">
              <w:rPr>
                <w:rFonts w:eastAsia="Calibri" w:cstheme="minorHAnsi"/>
                <w:b/>
                <w:spacing w:val="-2"/>
                <w:sz w:val="22"/>
                <w:szCs w:val="22"/>
                <w:lang w:val="en-US"/>
              </w:rPr>
              <w:t>Reference</w:t>
            </w:r>
          </w:p>
        </w:tc>
        <w:tc>
          <w:tcPr>
            <w:tcW w:w="1967" w:type="dxa"/>
          </w:tcPr>
          <w:p w14:paraId="289A9149" w14:textId="77777777" w:rsidR="00BD4ACC" w:rsidRPr="00BD4ACC" w:rsidRDefault="00BD4ACC" w:rsidP="00BD4ACC">
            <w:pPr>
              <w:widowControl w:val="0"/>
              <w:autoSpaceDE w:val="0"/>
              <w:autoSpaceDN w:val="0"/>
              <w:spacing w:before="0" w:after="0" w:line="248" w:lineRule="exact"/>
              <w:ind w:left="106"/>
              <w:rPr>
                <w:rFonts w:eastAsia="Calibri" w:cstheme="minorHAnsi"/>
                <w:b/>
                <w:sz w:val="22"/>
                <w:szCs w:val="22"/>
                <w:lang w:val="en-US"/>
              </w:rPr>
            </w:pPr>
            <w:r w:rsidRPr="00BD4ACC">
              <w:rPr>
                <w:rFonts w:eastAsia="Calibri" w:cstheme="minorHAnsi"/>
                <w:b/>
                <w:sz w:val="22"/>
                <w:szCs w:val="22"/>
                <w:lang w:val="en-US"/>
              </w:rPr>
              <w:t>Approval</w:t>
            </w:r>
            <w:r w:rsidRPr="00BD4ACC">
              <w:rPr>
                <w:rFonts w:eastAsia="Calibri" w:cstheme="minorHAnsi"/>
                <w:b/>
                <w:spacing w:val="-8"/>
                <w:sz w:val="22"/>
                <w:szCs w:val="22"/>
                <w:lang w:val="en-US"/>
              </w:rPr>
              <w:t xml:space="preserve"> </w:t>
            </w:r>
            <w:r w:rsidRPr="00BD4ACC">
              <w:rPr>
                <w:rFonts w:eastAsia="Calibri" w:cstheme="minorHAnsi"/>
                <w:b/>
                <w:spacing w:val="-4"/>
                <w:sz w:val="22"/>
                <w:szCs w:val="22"/>
                <w:lang w:val="en-US"/>
              </w:rPr>
              <w:t>Date</w:t>
            </w:r>
          </w:p>
        </w:tc>
      </w:tr>
      <w:tr w:rsidR="00BD4ACC" w:rsidRPr="00BD4ACC" w14:paraId="0E186869" w14:textId="77777777">
        <w:trPr>
          <w:trHeight w:val="274"/>
        </w:trPr>
        <w:tc>
          <w:tcPr>
            <w:tcW w:w="1385" w:type="dxa"/>
            <w:shd w:val="clear" w:color="auto" w:fill="auto"/>
          </w:tcPr>
          <w:p w14:paraId="22EB323B" w14:textId="77777777" w:rsidR="00BD4ACC" w:rsidRPr="00BD4ACC" w:rsidRDefault="00BD4ACC" w:rsidP="00BD4ACC">
            <w:pPr>
              <w:widowControl w:val="0"/>
              <w:autoSpaceDE w:val="0"/>
              <w:autoSpaceDN w:val="0"/>
              <w:spacing w:before="0" w:after="0" w:line="248" w:lineRule="exact"/>
              <w:ind w:left="107"/>
              <w:rPr>
                <w:rFonts w:eastAsia="Calibri" w:cstheme="minorHAnsi"/>
                <w:b/>
                <w:spacing w:val="-10"/>
                <w:sz w:val="22"/>
                <w:szCs w:val="22"/>
                <w:lang w:val="en-US"/>
              </w:rPr>
            </w:pPr>
            <w:r w:rsidRPr="00BD4ACC">
              <w:rPr>
                <w:rFonts w:eastAsia="Calibri" w:cstheme="minorHAnsi"/>
                <w:b/>
                <w:sz w:val="22"/>
                <w:szCs w:val="22"/>
                <w:lang w:val="en-US"/>
              </w:rPr>
              <w:t>Rev.</w:t>
            </w:r>
            <w:r w:rsidRPr="00BD4ACC">
              <w:rPr>
                <w:rFonts w:eastAsia="Calibri" w:cstheme="minorHAnsi"/>
                <w:b/>
                <w:spacing w:val="-2"/>
                <w:sz w:val="22"/>
                <w:szCs w:val="22"/>
                <w:lang w:val="en-US"/>
              </w:rPr>
              <w:t xml:space="preserve"> </w:t>
            </w:r>
            <w:r w:rsidRPr="00BD4ACC">
              <w:rPr>
                <w:rFonts w:eastAsia="Calibri" w:cstheme="minorHAnsi"/>
                <w:b/>
                <w:spacing w:val="-10"/>
                <w:sz w:val="22"/>
                <w:szCs w:val="22"/>
                <w:lang w:val="en-US"/>
              </w:rPr>
              <w:t>1</w:t>
            </w:r>
          </w:p>
          <w:p w14:paraId="33F2D8F3"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p>
        </w:tc>
        <w:tc>
          <w:tcPr>
            <w:tcW w:w="2969" w:type="dxa"/>
            <w:shd w:val="clear" w:color="auto" w:fill="auto"/>
          </w:tcPr>
          <w:p w14:paraId="0679C21D" w14:textId="71D1EED2" w:rsidR="00BD4ACC" w:rsidRPr="00C43324" w:rsidRDefault="00C34086" w:rsidP="00BD4ACC">
            <w:pPr>
              <w:widowControl w:val="0"/>
              <w:autoSpaceDE w:val="0"/>
              <w:autoSpaceDN w:val="0"/>
              <w:spacing w:before="0" w:after="0" w:line="248" w:lineRule="exact"/>
              <w:ind w:left="107"/>
              <w:rPr>
                <w:rFonts w:eastAsia="Calibri" w:cstheme="minorHAnsi"/>
                <w:sz w:val="22"/>
                <w:szCs w:val="22"/>
                <w:lang w:val="en-US"/>
              </w:rPr>
            </w:pPr>
            <w:r w:rsidRPr="00C43324">
              <w:rPr>
                <w:rFonts w:eastAsia="Calibri" w:cstheme="minorHAnsi"/>
                <w:sz w:val="22"/>
                <w:szCs w:val="22"/>
                <w:lang w:val="en-US"/>
              </w:rPr>
              <w:t>Executive Committee</w:t>
            </w:r>
          </w:p>
        </w:tc>
        <w:tc>
          <w:tcPr>
            <w:tcW w:w="3067" w:type="dxa"/>
            <w:shd w:val="clear" w:color="auto" w:fill="auto"/>
          </w:tcPr>
          <w:p w14:paraId="0818923A" w14:textId="464B3C9C" w:rsidR="00BD4ACC" w:rsidRPr="00C43324" w:rsidRDefault="000D33D0" w:rsidP="001E0EAB">
            <w:pPr>
              <w:widowControl w:val="0"/>
              <w:autoSpaceDE w:val="0"/>
              <w:autoSpaceDN w:val="0"/>
              <w:spacing w:before="0" w:after="0" w:line="248" w:lineRule="exact"/>
              <w:rPr>
                <w:rFonts w:eastAsia="Calibri" w:cstheme="minorHAnsi"/>
                <w:sz w:val="22"/>
                <w:szCs w:val="22"/>
                <w:lang w:val="en-US"/>
              </w:rPr>
            </w:pPr>
            <w:r w:rsidRPr="00C43324">
              <w:rPr>
                <w:rFonts w:eastAsia="Calibri" w:cstheme="minorHAnsi"/>
                <w:sz w:val="22"/>
                <w:szCs w:val="22"/>
                <w:lang w:val="en-US"/>
              </w:rPr>
              <w:t>30</w:t>
            </w:r>
            <w:r w:rsidR="00C43324" w:rsidRPr="00C43324">
              <w:rPr>
                <w:rFonts w:eastAsia="Calibri" w:cstheme="minorHAnsi"/>
                <w:sz w:val="22"/>
                <w:szCs w:val="22"/>
                <w:lang w:val="en-US"/>
              </w:rPr>
              <w:t>/4.6</w:t>
            </w:r>
          </w:p>
        </w:tc>
        <w:tc>
          <w:tcPr>
            <w:tcW w:w="1967" w:type="dxa"/>
            <w:shd w:val="clear" w:color="auto" w:fill="auto"/>
          </w:tcPr>
          <w:p w14:paraId="31AE7DAF" w14:textId="55DF2627" w:rsidR="00BD4ACC" w:rsidRPr="00C43324" w:rsidRDefault="00FF6824" w:rsidP="00BD4ACC">
            <w:pPr>
              <w:widowControl w:val="0"/>
              <w:autoSpaceDE w:val="0"/>
              <w:autoSpaceDN w:val="0"/>
              <w:spacing w:before="0" w:after="0" w:line="248" w:lineRule="exact"/>
              <w:rPr>
                <w:rFonts w:eastAsia="Calibri" w:cstheme="minorHAnsi"/>
                <w:sz w:val="22"/>
                <w:szCs w:val="22"/>
                <w:lang w:val="en-US"/>
              </w:rPr>
            </w:pPr>
            <w:r w:rsidRPr="00C43324">
              <w:rPr>
                <w:rFonts w:eastAsia="Calibri" w:cstheme="minorHAnsi"/>
                <w:spacing w:val="-2"/>
                <w:sz w:val="22"/>
                <w:szCs w:val="22"/>
                <w:lang w:val="en-US"/>
              </w:rPr>
              <w:t>31.1</w:t>
            </w:r>
            <w:r w:rsidR="00971CCB" w:rsidRPr="00C43324">
              <w:rPr>
                <w:rFonts w:eastAsia="Calibri" w:cstheme="minorHAnsi"/>
                <w:spacing w:val="-2"/>
                <w:sz w:val="22"/>
                <w:szCs w:val="22"/>
                <w:lang w:val="en-US"/>
              </w:rPr>
              <w:t>0</w:t>
            </w:r>
            <w:r w:rsidRPr="00C43324">
              <w:rPr>
                <w:rFonts w:eastAsia="Calibri" w:cstheme="minorHAnsi"/>
                <w:spacing w:val="-2"/>
                <w:sz w:val="22"/>
                <w:szCs w:val="22"/>
                <w:lang w:val="en-US"/>
              </w:rPr>
              <w:t>.23</w:t>
            </w:r>
          </w:p>
        </w:tc>
      </w:tr>
      <w:tr w:rsidR="00BD4ACC" w:rsidRPr="00BD4ACC" w14:paraId="2DBAE55C" w14:textId="77777777">
        <w:trPr>
          <w:trHeight w:val="274"/>
        </w:trPr>
        <w:tc>
          <w:tcPr>
            <w:tcW w:w="1385" w:type="dxa"/>
            <w:shd w:val="clear" w:color="auto" w:fill="auto"/>
          </w:tcPr>
          <w:p w14:paraId="596A42B5" w14:textId="77777777" w:rsidR="00BD4ACC" w:rsidRPr="00BD4ACC" w:rsidRDefault="00BD4ACC" w:rsidP="00BD4ACC">
            <w:pPr>
              <w:widowControl w:val="0"/>
              <w:autoSpaceDE w:val="0"/>
              <w:autoSpaceDN w:val="0"/>
              <w:spacing w:before="0" w:after="0" w:line="248" w:lineRule="exact"/>
              <w:ind w:left="107"/>
              <w:rPr>
                <w:rFonts w:eastAsia="Calibri" w:cstheme="minorHAnsi"/>
                <w:b/>
                <w:spacing w:val="-10"/>
                <w:sz w:val="22"/>
                <w:szCs w:val="22"/>
                <w:lang w:val="en-US"/>
              </w:rPr>
            </w:pPr>
            <w:r w:rsidRPr="00BD4ACC">
              <w:rPr>
                <w:rFonts w:eastAsia="Calibri" w:cstheme="minorHAnsi"/>
                <w:b/>
                <w:sz w:val="22"/>
                <w:szCs w:val="22"/>
                <w:lang w:val="en-US"/>
              </w:rPr>
              <w:t>Rev.</w:t>
            </w:r>
            <w:r w:rsidRPr="00BD4ACC">
              <w:rPr>
                <w:rFonts w:eastAsia="Calibri" w:cstheme="minorHAnsi"/>
                <w:b/>
                <w:spacing w:val="-2"/>
                <w:sz w:val="22"/>
                <w:szCs w:val="22"/>
                <w:lang w:val="en-US"/>
              </w:rPr>
              <w:t xml:space="preserve"> </w:t>
            </w:r>
            <w:r w:rsidRPr="00BD4ACC">
              <w:rPr>
                <w:rFonts w:eastAsia="Calibri" w:cstheme="minorHAnsi"/>
                <w:b/>
                <w:spacing w:val="-10"/>
                <w:sz w:val="22"/>
                <w:szCs w:val="22"/>
                <w:lang w:val="en-US"/>
              </w:rPr>
              <w:t>2</w:t>
            </w:r>
          </w:p>
          <w:p w14:paraId="5C8E0D4B" w14:textId="77777777" w:rsidR="00BD4ACC" w:rsidRPr="00BD4ACC" w:rsidRDefault="00BD4ACC" w:rsidP="00BD4ACC">
            <w:pPr>
              <w:widowControl w:val="0"/>
              <w:autoSpaceDE w:val="0"/>
              <w:autoSpaceDN w:val="0"/>
              <w:spacing w:before="0" w:after="0" w:line="248" w:lineRule="exact"/>
              <w:ind w:left="107"/>
              <w:rPr>
                <w:rFonts w:eastAsia="Calibri" w:cstheme="minorHAnsi"/>
                <w:b/>
                <w:sz w:val="22"/>
                <w:szCs w:val="22"/>
                <w:lang w:val="en-US"/>
              </w:rPr>
            </w:pPr>
          </w:p>
        </w:tc>
        <w:tc>
          <w:tcPr>
            <w:tcW w:w="2969" w:type="dxa"/>
            <w:shd w:val="clear" w:color="auto" w:fill="auto"/>
          </w:tcPr>
          <w:p w14:paraId="50A0D388" w14:textId="77777777" w:rsidR="00BD4ACC" w:rsidRPr="00BD4ACC" w:rsidRDefault="00BD4ACC" w:rsidP="00BD4ACC">
            <w:pPr>
              <w:widowControl w:val="0"/>
              <w:autoSpaceDE w:val="0"/>
              <w:autoSpaceDN w:val="0"/>
              <w:spacing w:before="0" w:after="0" w:line="248" w:lineRule="exact"/>
              <w:ind w:left="107"/>
              <w:rPr>
                <w:rFonts w:eastAsia="Calibri" w:cstheme="minorHAnsi"/>
                <w:sz w:val="22"/>
                <w:szCs w:val="22"/>
                <w:lang w:val="en-US"/>
              </w:rPr>
            </w:pPr>
          </w:p>
        </w:tc>
        <w:tc>
          <w:tcPr>
            <w:tcW w:w="3067" w:type="dxa"/>
            <w:shd w:val="clear" w:color="auto" w:fill="auto"/>
          </w:tcPr>
          <w:p w14:paraId="44DFE7B7" w14:textId="77777777" w:rsidR="00BD4ACC" w:rsidRPr="00BD4ACC" w:rsidRDefault="00BD4ACC" w:rsidP="00BD4ACC">
            <w:pPr>
              <w:widowControl w:val="0"/>
              <w:autoSpaceDE w:val="0"/>
              <w:autoSpaceDN w:val="0"/>
              <w:spacing w:before="0" w:after="0" w:line="248" w:lineRule="exact"/>
              <w:ind w:left="107"/>
              <w:rPr>
                <w:rFonts w:eastAsia="Calibri" w:cstheme="minorHAnsi"/>
                <w:sz w:val="22"/>
                <w:szCs w:val="22"/>
                <w:lang w:val="en-US"/>
              </w:rPr>
            </w:pPr>
          </w:p>
        </w:tc>
        <w:tc>
          <w:tcPr>
            <w:tcW w:w="1967" w:type="dxa"/>
            <w:shd w:val="clear" w:color="auto" w:fill="auto"/>
          </w:tcPr>
          <w:p w14:paraId="5CC9331E" w14:textId="77777777" w:rsidR="00BD4ACC" w:rsidRPr="00BD4ACC" w:rsidRDefault="00BD4ACC" w:rsidP="00BD4ACC">
            <w:pPr>
              <w:widowControl w:val="0"/>
              <w:autoSpaceDE w:val="0"/>
              <w:autoSpaceDN w:val="0"/>
              <w:spacing w:before="0" w:after="0" w:line="248" w:lineRule="exact"/>
              <w:ind w:left="106"/>
              <w:rPr>
                <w:rFonts w:eastAsia="Calibri" w:cstheme="minorHAnsi"/>
                <w:sz w:val="22"/>
                <w:szCs w:val="22"/>
                <w:lang w:val="en-US"/>
              </w:rPr>
            </w:pPr>
          </w:p>
        </w:tc>
      </w:tr>
      <w:tr w:rsidR="00BD4ACC" w:rsidRPr="00BD4ACC" w14:paraId="61277D07" w14:textId="77777777">
        <w:trPr>
          <w:trHeight w:val="550"/>
        </w:trPr>
        <w:tc>
          <w:tcPr>
            <w:tcW w:w="1385" w:type="dxa"/>
            <w:shd w:val="clear" w:color="auto" w:fill="auto"/>
          </w:tcPr>
          <w:p w14:paraId="75FDBDA1" w14:textId="77777777" w:rsidR="00BD4ACC" w:rsidRPr="00BD4ACC" w:rsidRDefault="00BD4ACC" w:rsidP="00BD4ACC">
            <w:pPr>
              <w:widowControl w:val="0"/>
              <w:autoSpaceDE w:val="0"/>
              <w:autoSpaceDN w:val="0"/>
              <w:spacing w:before="0" w:after="0" w:line="268" w:lineRule="exact"/>
              <w:ind w:left="107"/>
              <w:rPr>
                <w:rFonts w:eastAsia="Calibri" w:cstheme="minorHAnsi"/>
                <w:b/>
                <w:spacing w:val="-10"/>
                <w:sz w:val="22"/>
                <w:szCs w:val="22"/>
                <w:lang w:val="en-US"/>
              </w:rPr>
            </w:pPr>
            <w:r w:rsidRPr="00BD4ACC">
              <w:rPr>
                <w:rFonts w:eastAsia="Calibri" w:cstheme="minorHAnsi"/>
                <w:b/>
                <w:sz w:val="22"/>
                <w:szCs w:val="22"/>
                <w:lang w:val="en-US"/>
              </w:rPr>
              <w:t>Rev.</w:t>
            </w:r>
            <w:r w:rsidRPr="00BD4ACC">
              <w:rPr>
                <w:rFonts w:eastAsia="Calibri" w:cstheme="minorHAnsi"/>
                <w:b/>
                <w:spacing w:val="-2"/>
                <w:sz w:val="22"/>
                <w:szCs w:val="22"/>
                <w:lang w:val="en-US"/>
              </w:rPr>
              <w:t xml:space="preserve"> </w:t>
            </w:r>
            <w:r w:rsidRPr="00BD4ACC">
              <w:rPr>
                <w:rFonts w:eastAsia="Calibri" w:cstheme="minorHAnsi"/>
                <w:b/>
                <w:spacing w:val="-10"/>
                <w:sz w:val="22"/>
                <w:szCs w:val="22"/>
                <w:lang w:val="en-US"/>
              </w:rPr>
              <w:t>3</w:t>
            </w:r>
          </w:p>
          <w:p w14:paraId="2260C712" w14:textId="77777777" w:rsidR="00BD4ACC" w:rsidRPr="00BD4ACC" w:rsidRDefault="00BD4ACC" w:rsidP="00BD4ACC">
            <w:pPr>
              <w:widowControl w:val="0"/>
              <w:autoSpaceDE w:val="0"/>
              <w:autoSpaceDN w:val="0"/>
              <w:spacing w:before="0" w:after="0" w:line="268" w:lineRule="exact"/>
              <w:ind w:left="107"/>
              <w:rPr>
                <w:rFonts w:eastAsia="Calibri" w:cstheme="minorHAnsi"/>
                <w:b/>
                <w:sz w:val="22"/>
                <w:szCs w:val="22"/>
                <w:lang w:val="en-US"/>
              </w:rPr>
            </w:pPr>
          </w:p>
        </w:tc>
        <w:tc>
          <w:tcPr>
            <w:tcW w:w="2969" w:type="dxa"/>
            <w:shd w:val="clear" w:color="auto" w:fill="auto"/>
          </w:tcPr>
          <w:p w14:paraId="75C1C17F" w14:textId="77777777" w:rsidR="00BD4ACC" w:rsidRPr="00BD4ACC" w:rsidRDefault="00BD4ACC" w:rsidP="00BD4ACC">
            <w:pPr>
              <w:widowControl w:val="0"/>
              <w:autoSpaceDE w:val="0"/>
              <w:autoSpaceDN w:val="0"/>
              <w:spacing w:before="0" w:after="0" w:line="249" w:lineRule="exact"/>
              <w:ind w:left="107"/>
              <w:rPr>
                <w:rFonts w:eastAsia="Calibri" w:cstheme="minorHAnsi"/>
                <w:sz w:val="22"/>
                <w:szCs w:val="22"/>
                <w:lang w:val="en-US"/>
              </w:rPr>
            </w:pPr>
          </w:p>
        </w:tc>
        <w:tc>
          <w:tcPr>
            <w:tcW w:w="3067" w:type="dxa"/>
            <w:shd w:val="clear" w:color="auto" w:fill="auto"/>
          </w:tcPr>
          <w:p w14:paraId="25291BAD" w14:textId="77777777" w:rsidR="00BD4ACC" w:rsidRPr="00BD4ACC" w:rsidRDefault="00BD4ACC" w:rsidP="00BD4ACC">
            <w:pPr>
              <w:widowControl w:val="0"/>
              <w:autoSpaceDE w:val="0"/>
              <w:autoSpaceDN w:val="0"/>
              <w:spacing w:before="0" w:after="0" w:line="249" w:lineRule="exact"/>
              <w:ind w:left="107"/>
              <w:rPr>
                <w:rFonts w:eastAsia="Calibri" w:cstheme="minorHAnsi"/>
                <w:sz w:val="22"/>
                <w:szCs w:val="22"/>
                <w:lang w:val="en-US"/>
              </w:rPr>
            </w:pPr>
          </w:p>
        </w:tc>
        <w:tc>
          <w:tcPr>
            <w:tcW w:w="1967" w:type="dxa"/>
            <w:shd w:val="clear" w:color="auto" w:fill="auto"/>
          </w:tcPr>
          <w:p w14:paraId="35177D1C" w14:textId="77777777" w:rsidR="00BD4ACC" w:rsidRPr="00BD4ACC" w:rsidRDefault="00BD4ACC" w:rsidP="00BD4ACC">
            <w:pPr>
              <w:widowControl w:val="0"/>
              <w:autoSpaceDE w:val="0"/>
              <w:autoSpaceDN w:val="0"/>
              <w:spacing w:before="0" w:after="0" w:line="268" w:lineRule="exact"/>
              <w:ind w:left="106"/>
              <w:rPr>
                <w:rFonts w:eastAsia="Calibri" w:cstheme="minorHAnsi"/>
                <w:sz w:val="22"/>
                <w:szCs w:val="22"/>
                <w:lang w:val="en-US"/>
              </w:rPr>
            </w:pPr>
          </w:p>
        </w:tc>
      </w:tr>
    </w:tbl>
    <w:p w14:paraId="0F1EBC56" w14:textId="77777777" w:rsidR="00BD4ACC" w:rsidRPr="00473781" w:rsidRDefault="00BD4ACC" w:rsidP="00473781"/>
    <w:p w14:paraId="3180E8EE" w14:textId="77777777" w:rsidR="00473781" w:rsidRPr="00473781" w:rsidRDefault="00473781" w:rsidP="00473781"/>
    <w:tbl>
      <w:tblPr>
        <w:tblStyle w:val="GridTable4-Accent5"/>
        <w:tblW w:w="9918" w:type="dxa"/>
        <w:tblLook w:val="06A0" w:firstRow="1" w:lastRow="0" w:firstColumn="1" w:lastColumn="0" w:noHBand="1" w:noVBand="1"/>
      </w:tblPr>
      <w:tblGrid>
        <w:gridCol w:w="1271"/>
        <w:gridCol w:w="1692"/>
        <w:gridCol w:w="6955"/>
      </w:tblGrid>
      <w:tr w:rsidR="009A60BE" w:rsidRPr="000B1D69" w14:paraId="00C1DFAB" w14:textId="77777777" w:rsidTr="22B97D05">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271" w:type="dxa"/>
          </w:tcPr>
          <w:p w14:paraId="083E941F" w14:textId="77777777" w:rsidR="009A60BE" w:rsidRPr="000B1D69" w:rsidRDefault="009A60BE"/>
        </w:tc>
        <w:tc>
          <w:tcPr>
            <w:tcW w:w="8647" w:type="dxa"/>
            <w:gridSpan w:val="2"/>
          </w:tcPr>
          <w:p w14:paraId="03737E53" w14:textId="6B2BBEAB" w:rsidR="009A60BE" w:rsidRPr="000B1D69" w:rsidRDefault="009A60BE">
            <w:pPr>
              <w:cnfStyle w:val="100000000000" w:firstRow="1" w:lastRow="0" w:firstColumn="0" w:lastColumn="0" w:oddVBand="0" w:evenVBand="0" w:oddHBand="0" w:evenHBand="0" w:firstRowFirstColumn="0" w:firstRowLastColumn="0" w:lastRowFirstColumn="0" w:lastRowLastColumn="0"/>
            </w:pPr>
            <w:r w:rsidRPr="000B1D69">
              <w:t>Document Revision History</w:t>
            </w:r>
          </w:p>
        </w:tc>
      </w:tr>
      <w:tr w:rsidR="009A60BE" w:rsidRPr="000B1D69" w14:paraId="3D89F447"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01990ECC" w14:textId="673F2E91" w:rsidR="009A60BE" w:rsidRPr="000B1D69" w:rsidRDefault="009A60BE">
            <w:r>
              <w:t>Version 1</w:t>
            </w:r>
          </w:p>
        </w:tc>
        <w:tc>
          <w:tcPr>
            <w:tcW w:w="1692" w:type="dxa"/>
          </w:tcPr>
          <w:p w14:paraId="28AE485D" w14:textId="4A5031F3" w:rsidR="009A60BE" w:rsidRPr="000B1D69" w:rsidRDefault="009A60BE">
            <w:pPr>
              <w:cnfStyle w:val="000000000000" w:firstRow="0" w:lastRow="0" w:firstColumn="0" w:lastColumn="0" w:oddVBand="0" w:evenVBand="0" w:oddHBand="0" w:evenHBand="0" w:firstRowFirstColumn="0" w:firstRowLastColumn="0" w:lastRowFirstColumn="0" w:lastRowLastColumn="0"/>
            </w:pPr>
            <w:r w:rsidRPr="000B1D69">
              <w:t>December 2021</w:t>
            </w:r>
          </w:p>
        </w:tc>
        <w:tc>
          <w:tcPr>
            <w:tcW w:w="6955" w:type="dxa"/>
          </w:tcPr>
          <w:p w14:paraId="411AD5D4" w14:textId="77777777" w:rsidR="009A60BE" w:rsidRPr="000B1D69" w:rsidRDefault="009A60BE">
            <w:pPr>
              <w:cnfStyle w:val="000000000000" w:firstRow="0" w:lastRow="0" w:firstColumn="0" w:lastColumn="0" w:oddVBand="0" w:evenVBand="0" w:oddHBand="0" w:evenHBand="0" w:firstRowFirstColumn="0" w:firstRowLastColumn="0" w:lastRowFirstColumn="0" w:lastRowLastColumn="0"/>
            </w:pPr>
            <w:r w:rsidRPr="000B1D69">
              <w:t>After FPC Review</w:t>
            </w:r>
          </w:p>
        </w:tc>
      </w:tr>
      <w:tr w:rsidR="009A60BE" w:rsidRPr="000B1D69" w14:paraId="78D82091"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3B2C11F7" w14:textId="0449E262" w:rsidR="009A60BE" w:rsidRPr="000B1D69" w:rsidRDefault="009A60BE">
            <w:r>
              <w:t>Version 2</w:t>
            </w:r>
          </w:p>
        </w:tc>
        <w:tc>
          <w:tcPr>
            <w:tcW w:w="1692" w:type="dxa"/>
          </w:tcPr>
          <w:p w14:paraId="706D2A3F" w14:textId="1106565E" w:rsidR="009A60BE" w:rsidRPr="000B1D69" w:rsidRDefault="009A60BE">
            <w:pPr>
              <w:cnfStyle w:val="000000000000" w:firstRow="0" w:lastRow="0" w:firstColumn="0" w:lastColumn="0" w:oddVBand="0" w:evenVBand="0" w:oddHBand="0" w:evenHBand="0" w:firstRowFirstColumn="0" w:firstRowLastColumn="0" w:lastRowFirstColumn="0" w:lastRowLastColumn="0"/>
              <w:rPr>
                <w:b/>
                <w:bCs/>
              </w:rPr>
            </w:pPr>
            <w:r w:rsidRPr="000B1D69">
              <w:t>08/03/2022</w:t>
            </w:r>
          </w:p>
        </w:tc>
        <w:tc>
          <w:tcPr>
            <w:tcW w:w="6955" w:type="dxa"/>
          </w:tcPr>
          <w:p w14:paraId="26FAA6A7" w14:textId="77777777" w:rsidR="009A60BE" w:rsidRPr="000B1D69" w:rsidRDefault="009A60BE">
            <w:pPr>
              <w:cnfStyle w:val="000000000000" w:firstRow="0" w:lastRow="0" w:firstColumn="0" w:lastColumn="0" w:oddVBand="0" w:evenVBand="0" w:oddHBand="0" w:evenHBand="0" w:firstRowFirstColumn="0" w:firstRowLastColumn="0" w:lastRowFirstColumn="0" w:lastRowLastColumn="0"/>
            </w:pPr>
            <w:r w:rsidRPr="000B1D69">
              <w:t>Change the eligibility criteria to include Large Companies to develop an organisational carbon reduction roadmap (only).</w:t>
            </w:r>
          </w:p>
        </w:tc>
      </w:tr>
      <w:tr w:rsidR="009A60BE" w:rsidRPr="000B1D69" w14:paraId="1BA987BD"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7D0C013E" w14:textId="0B270A3C" w:rsidR="009A60BE" w:rsidRDefault="009A60BE">
            <w:r>
              <w:t>Version 3</w:t>
            </w:r>
          </w:p>
        </w:tc>
        <w:tc>
          <w:tcPr>
            <w:tcW w:w="1692" w:type="dxa"/>
          </w:tcPr>
          <w:p w14:paraId="5E533EDE" w14:textId="74019DB4" w:rsidR="009A60BE" w:rsidRPr="000B1D69" w:rsidRDefault="009A60BE">
            <w:pPr>
              <w:cnfStyle w:val="000000000000" w:firstRow="0" w:lastRow="0" w:firstColumn="0" w:lastColumn="0" w:oddVBand="0" w:evenVBand="0" w:oddHBand="0" w:evenHBand="0" w:firstRowFirstColumn="0" w:firstRowLastColumn="0" w:lastRowFirstColumn="0" w:lastRowLastColumn="0"/>
            </w:pPr>
            <w:r>
              <w:t>10/05/2022</w:t>
            </w:r>
          </w:p>
        </w:tc>
        <w:tc>
          <w:tcPr>
            <w:tcW w:w="6955" w:type="dxa"/>
          </w:tcPr>
          <w:p w14:paraId="3A9FB32D" w14:textId="5E4BC66E" w:rsidR="009A60BE" w:rsidRPr="000B1D69" w:rsidRDefault="009A60BE">
            <w:pPr>
              <w:cnfStyle w:val="000000000000" w:firstRow="0" w:lastRow="0" w:firstColumn="0" w:lastColumn="0" w:oddVBand="0" w:evenVBand="0" w:oddHBand="0" w:evenHBand="0" w:firstRowFirstColumn="0" w:firstRowLastColumn="0" w:lastRowFirstColumn="0" w:lastRowLastColumn="0"/>
            </w:pPr>
            <w:r>
              <w:t>Addition of EU RRF reporting requirements.</w:t>
            </w:r>
          </w:p>
        </w:tc>
      </w:tr>
      <w:tr w:rsidR="009A60BE" w:rsidRPr="000B1D69" w14:paraId="16C49E22"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65712A3E" w14:textId="3749D371" w:rsidR="009A60BE" w:rsidRDefault="009A60BE">
            <w:r>
              <w:t>Version 4</w:t>
            </w:r>
          </w:p>
        </w:tc>
        <w:tc>
          <w:tcPr>
            <w:tcW w:w="1692" w:type="dxa"/>
          </w:tcPr>
          <w:p w14:paraId="00CF0B89" w14:textId="1FA3AEAF" w:rsidR="009A60BE" w:rsidRDefault="009A60BE">
            <w:pPr>
              <w:cnfStyle w:val="000000000000" w:firstRow="0" w:lastRow="0" w:firstColumn="0" w:lastColumn="0" w:oddVBand="0" w:evenVBand="0" w:oddHBand="0" w:evenHBand="0" w:firstRowFirstColumn="0" w:firstRowLastColumn="0" w:lastRowFirstColumn="0" w:lastRowLastColumn="0"/>
            </w:pPr>
            <w:r>
              <w:t>03/06/2022</w:t>
            </w:r>
          </w:p>
        </w:tc>
        <w:tc>
          <w:tcPr>
            <w:tcW w:w="6955" w:type="dxa"/>
          </w:tcPr>
          <w:p w14:paraId="21FA34B4" w14:textId="1E314286" w:rsidR="009A60BE" w:rsidRDefault="009A60BE">
            <w:pPr>
              <w:cnfStyle w:val="000000000000" w:firstRow="0" w:lastRow="0" w:firstColumn="0" w:lastColumn="0" w:oddVBand="0" w:evenVBand="0" w:oddHBand="0" w:evenHBand="0" w:firstRowFirstColumn="0" w:firstRowLastColumn="0" w:lastRowFirstColumn="0" w:lastRowLastColumn="0"/>
            </w:pPr>
            <w:r w:rsidRPr="00632BE4">
              <w:t>‘Climate Enterprise Action Fund’ change to ‘Climate Planning Fund for Business’ &amp;</w:t>
            </w:r>
            <w:r w:rsidR="00403374">
              <w:t xml:space="preserve"> </w:t>
            </w:r>
            <w:r w:rsidRPr="00632BE4">
              <w:t>‘Carbon Reduction Fund’ to ‘Enterprise Emissions Reduction Investment Fund’.</w:t>
            </w:r>
          </w:p>
        </w:tc>
      </w:tr>
      <w:tr w:rsidR="009A60BE" w:rsidRPr="000B1D69" w14:paraId="17DD1420"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133CEABD" w14:textId="3899420D" w:rsidR="009A60BE" w:rsidRDefault="009A60BE">
            <w:r>
              <w:t>Version 5</w:t>
            </w:r>
          </w:p>
        </w:tc>
        <w:tc>
          <w:tcPr>
            <w:tcW w:w="1692" w:type="dxa"/>
          </w:tcPr>
          <w:p w14:paraId="3770BAFF" w14:textId="711A2651" w:rsidR="009A60BE" w:rsidRDefault="009A60BE">
            <w:pPr>
              <w:cnfStyle w:val="000000000000" w:firstRow="0" w:lastRow="0" w:firstColumn="0" w:lastColumn="0" w:oddVBand="0" w:evenVBand="0" w:oddHBand="0" w:evenHBand="0" w:firstRowFirstColumn="0" w:firstRowLastColumn="0" w:lastRowFirstColumn="0" w:lastRowLastColumn="0"/>
            </w:pPr>
            <w:r>
              <w:t>22/08/2022</w:t>
            </w:r>
          </w:p>
        </w:tc>
        <w:tc>
          <w:tcPr>
            <w:tcW w:w="6955" w:type="dxa"/>
          </w:tcPr>
          <w:p w14:paraId="7AC2A266" w14:textId="2A8DD4B2" w:rsidR="009A60BE" w:rsidRPr="00632BE4" w:rsidRDefault="009A60BE">
            <w:pPr>
              <w:cnfStyle w:val="000000000000" w:firstRow="0" w:lastRow="0" w:firstColumn="0" w:lastColumn="0" w:oddVBand="0" w:evenVBand="0" w:oddHBand="0" w:evenHBand="0" w:firstRowFirstColumn="0" w:firstRowLastColumn="0" w:lastRowFirstColumn="0" w:lastRowLastColumn="0"/>
            </w:pPr>
            <w:r w:rsidRPr="00D47D9C">
              <w:t>Update ‘Environmental Compliance and Do No Significant Harm’ wording</w:t>
            </w:r>
          </w:p>
        </w:tc>
      </w:tr>
      <w:tr w:rsidR="009A60BE" w:rsidRPr="000B1D69" w14:paraId="317AE3FA"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186C4466" w14:textId="74CB2023" w:rsidR="009A60BE" w:rsidRDefault="009A60BE">
            <w:r>
              <w:t>Version 6</w:t>
            </w:r>
          </w:p>
        </w:tc>
        <w:tc>
          <w:tcPr>
            <w:tcW w:w="1692" w:type="dxa"/>
          </w:tcPr>
          <w:p w14:paraId="409CA05E" w14:textId="79314739" w:rsidR="009A60BE" w:rsidRDefault="000F4568">
            <w:pPr>
              <w:cnfStyle w:val="000000000000" w:firstRow="0" w:lastRow="0" w:firstColumn="0" w:lastColumn="0" w:oddVBand="0" w:evenVBand="0" w:oddHBand="0" w:evenHBand="0" w:firstRowFirstColumn="0" w:firstRowLastColumn="0" w:lastRowFirstColumn="0" w:lastRowLastColumn="0"/>
            </w:pPr>
            <w:r>
              <w:t>31</w:t>
            </w:r>
            <w:r w:rsidR="009A60BE">
              <w:t>/10/2023</w:t>
            </w:r>
          </w:p>
        </w:tc>
        <w:tc>
          <w:tcPr>
            <w:tcW w:w="6955" w:type="dxa"/>
          </w:tcPr>
          <w:p w14:paraId="53C11621" w14:textId="390FA4C8" w:rsidR="009A60BE" w:rsidRPr="00D47D9C" w:rsidRDefault="009A60BE">
            <w:pPr>
              <w:cnfStyle w:val="000000000000" w:firstRow="0" w:lastRow="0" w:firstColumn="0" w:lastColumn="0" w:oddVBand="0" w:evenVBand="0" w:oddHBand="0" w:evenHBand="0" w:firstRowFirstColumn="0" w:firstRowLastColumn="0" w:lastRowFirstColumn="0" w:lastRowLastColumn="0"/>
            </w:pPr>
            <w:r>
              <w:t>Update Large Company State Aid Basis and eligible activities</w:t>
            </w:r>
          </w:p>
        </w:tc>
      </w:tr>
      <w:tr w:rsidR="00E3460F" w:rsidRPr="000B1D69" w14:paraId="4217150A"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155CF700" w14:textId="2165C38F" w:rsidR="00E3460F" w:rsidRDefault="00E3460F">
            <w:r>
              <w:t>Version 7</w:t>
            </w:r>
          </w:p>
        </w:tc>
        <w:tc>
          <w:tcPr>
            <w:tcW w:w="1692" w:type="dxa"/>
          </w:tcPr>
          <w:p w14:paraId="2A7C80B9" w14:textId="7F382E39" w:rsidR="00E3460F" w:rsidRDefault="00E3460F">
            <w:pPr>
              <w:cnfStyle w:val="000000000000" w:firstRow="0" w:lastRow="0" w:firstColumn="0" w:lastColumn="0" w:oddVBand="0" w:evenVBand="0" w:oddHBand="0" w:evenHBand="0" w:firstRowFirstColumn="0" w:firstRowLastColumn="0" w:lastRowFirstColumn="0" w:lastRowLastColumn="0"/>
            </w:pPr>
            <w:r>
              <w:t>1/3/2024</w:t>
            </w:r>
          </w:p>
        </w:tc>
        <w:tc>
          <w:tcPr>
            <w:tcW w:w="6955" w:type="dxa"/>
          </w:tcPr>
          <w:p w14:paraId="05630081" w14:textId="678E75E5" w:rsidR="00E3460F" w:rsidRDefault="00E3460F">
            <w:pPr>
              <w:cnfStyle w:val="000000000000" w:firstRow="0" w:lastRow="0" w:firstColumn="0" w:lastColumn="0" w:oddVBand="0" w:evenVBand="0" w:oddHBand="0" w:evenHBand="0" w:firstRowFirstColumn="0" w:firstRowLastColumn="0" w:lastRowFirstColumn="0" w:lastRowLastColumn="0"/>
            </w:pPr>
            <w:r>
              <w:t xml:space="preserve">Update of the </w:t>
            </w:r>
            <w:r w:rsidR="006A030A">
              <w:t>Commission Regulation number for De Minimis Aid</w:t>
            </w:r>
          </w:p>
        </w:tc>
      </w:tr>
      <w:tr w:rsidR="22B97D05" w14:paraId="0F8A31CC" w14:textId="77777777" w:rsidTr="22B97D05">
        <w:trPr>
          <w:trHeight w:val="295"/>
        </w:trPr>
        <w:tc>
          <w:tcPr>
            <w:cnfStyle w:val="001000000000" w:firstRow="0" w:lastRow="0" w:firstColumn="1" w:lastColumn="0" w:oddVBand="0" w:evenVBand="0" w:oddHBand="0" w:evenHBand="0" w:firstRowFirstColumn="0" w:firstRowLastColumn="0" w:lastRowFirstColumn="0" w:lastRowLastColumn="0"/>
            <w:tcW w:w="1271" w:type="dxa"/>
          </w:tcPr>
          <w:p w14:paraId="1E8D34FA" w14:textId="1D8AE175" w:rsidR="4925F895" w:rsidRDefault="4925F895" w:rsidP="22B97D05">
            <w:r>
              <w:t>Version 8</w:t>
            </w:r>
          </w:p>
        </w:tc>
        <w:tc>
          <w:tcPr>
            <w:tcW w:w="1692" w:type="dxa"/>
          </w:tcPr>
          <w:p w14:paraId="67AE05EC" w14:textId="09935555" w:rsidR="4925F895" w:rsidRDefault="4925F895" w:rsidP="22B97D05">
            <w:pPr>
              <w:cnfStyle w:val="000000000000" w:firstRow="0" w:lastRow="0" w:firstColumn="0" w:lastColumn="0" w:oddVBand="0" w:evenVBand="0" w:oddHBand="0" w:evenHBand="0" w:firstRowFirstColumn="0" w:firstRowLastColumn="0" w:lastRowFirstColumn="0" w:lastRowLastColumn="0"/>
            </w:pPr>
            <w:r>
              <w:t>27/08/2024</w:t>
            </w:r>
          </w:p>
        </w:tc>
        <w:tc>
          <w:tcPr>
            <w:tcW w:w="6955" w:type="dxa"/>
          </w:tcPr>
          <w:p w14:paraId="34E5A106" w14:textId="319D0848" w:rsidR="4925F895" w:rsidRDefault="4925F895" w:rsidP="22B97D05">
            <w:pPr>
              <w:cnfStyle w:val="000000000000" w:firstRow="0" w:lastRow="0" w:firstColumn="0" w:lastColumn="0" w:oddVBand="0" w:evenVBand="0" w:oddHBand="0" w:evenHBand="0" w:firstRowFirstColumn="0" w:firstRowLastColumn="0" w:lastRowFirstColumn="0" w:lastRowLastColumn="0"/>
            </w:pPr>
            <w:r>
              <w:t xml:space="preserve">Removing all reference to Short Term </w:t>
            </w:r>
            <w:r w:rsidR="501F9DF6">
              <w:t xml:space="preserve">Consultancy </w:t>
            </w:r>
            <w:r>
              <w:t>Projects</w:t>
            </w:r>
          </w:p>
        </w:tc>
      </w:tr>
    </w:tbl>
    <w:p w14:paraId="425B07A7" w14:textId="77777777" w:rsidR="00742979" w:rsidRDefault="00742979" w:rsidP="003D3CAF"/>
    <w:p w14:paraId="73E980C0" w14:textId="77777777" w:rsidR="00EC392D" w:rsidRDefault="00EC392D" w:rsidP="00EC392D">
      <w:pPr>
        <w:spacing w:before="0" w:after="160" w:line="259" w:lineRule="auto"/>
      </w:pPr>
    </w:p>
    <w:p w14:paraId="2AE772C3" w14:textId="106E5618" w:rsidR="00B132D1" w:rsidRPr="00EC392D" w:rsidRDefault="003D3CAF" w:rsidP="00EC392D">
      <w:pPr>
        <w:spacing w:before="0" w:after="160" w:line="259" w:lineRule="auto"/>
        <w:rPr>
          <w:highlight w:val="yellow"/>
        </w:rPr>
      </w:pPr>
      <w:r w:rsidRPr="00632BE4">
        <w:t xml:space="preserve">Under Ireland’s National Recovery and Resilience Plan (NRRP) (2021-2026), projects supporting the digital and climate transition of enterprise are being funded through the EU’s Recovery and Resilience Facility. </w:t>
      </w:r>
    </w:p>
    <w:p w14:paraId="0702B5F9" w14:textId="11134269" w:rsidR="003D3CAF" w:rsidRPr="00632BE4" w:rsidRDefault="003D3CAF" w:rsidP="003D3CAF">
      <w:r w:rsidRPr="00632BE4">
        <w:t>This covers projects that will:</w:t>
      </w:r>
    </w:p>
    <w:p w14:paraId="0E0BC77C" w14:textId="77777777" w:rsidR="003D3CAF" w:rsidRPr="00632BE4" w:rsidRDefault="003D3CAF" w:rsidP="003D3CAF">
      <w:pPr>
        <w:pStyle w:val="ListParagraph"/>
        <w:numPr>
          <w:ilvl w:val="0"/>
          <w:numId w:val="18"/>
        </w:numPr>
      </w:pPr>
      <w:r w:rsidRPr="00632BE4">
        <w:t>facilitate emissions reductions, or</w:t>
      </w:r>
    </w:p>
    <w:p w14:paraId="16665AF5" w14:textId="7EBCDE01" w:rsidR="00057E4F" w:rsidRDefault="003D3CAF" w:rsidP="00057E4F">
      <w:pPr>
        <w:pStyle w:val="ListParagraph"/>
        <w:numPr>
          <w:ilvl w:val="0"/>
          <w:numId w:val="18"/>
        </w:numPr>
      </w:pPr>
      <w:r w:rsidRPr="00632BE4">
        <w:t>support the digital transformation of the company, driving increased adoption and diffusion of digital technology</w:t>
      </w:r>
    </w:p>
    <w:p w14:paraId="25291DA9" w14:textId="77777777" w:rsidR="00403374" w:rsidRPr="00632BE4" w:rsidRDefault="00403374" w:rsidP="00403374">
      <w:pPr>
        <w:pStyle w:val="ListParagraph"/>
      </w:pPr>
    </w:p>
    <w:p w14:paraId="6FBC1B47" w14:textId="77777777" w:rsidR="00057E4F" w:rsidRPr="000B1D69" w:rsidRDefault="00057E4F" w:rsidP="00057E4F">
      <w:pPr>
        <w:pStyle w:val="Heading1"/>
        <w:numPr>
          <w:ilvl w:val="0"/>
          <w:numId w:val="6"/>
        </w:numPr>
        <w:ind w:left="720"/>
        <w:rPr>
          <w:rFonts w:eastAsia="Times New Roman"/>
          <w:lang w:val="en-IE" w:eastAsia="en-IE"/>
        </w:rPr>
      </w:pPr>
      <w:r w:rsidRPr="000B1D69">
        <w:rPr>
          <w:rFonts w:eastAsia="Times New Roman"/>
          <w:lang w:val="en-IE" w:eastAsia="en-IE"/>
        </w:rPr>
        <w:lastRenderedPageBreak/>
        <w:t>Description </w:t>
      </w:r>
    </w:p>
    <w:p w14:paraId="1E6F6E6D" w14:textId="77777777" w:rsidR="00057E4F" w:rsidRPr="000B1D69" w:rsidRDefault="00057E4F" w:rsidP="00057E4F">
      <w:pPr>
        <w:pStyle w:val="Heading2"/>
        <w:rPr>
          <w:lang w:val="en-IE" w:eastAsia="en-IE"/>
        </w:rPr>
      </w:pPr>
      <w:r w:rsidRPr="000B1D69">
        <w:rPr>
          <w:lang w:val="en-IE" w:eastAsia="en-IE"/>
        </w:rPr>
        <w:t>1.1 Overview</w:t>
      </w:r>
    </w:p>
    <w:p w14:paraId="33EC1A59" w14:textId="45980164" w:rsidR="00057E4F" w:rsidRPr="000B1D69" w:rsidRDefault="00057E4F" w:rsidP="00057E4F">
      <w:pPr>
        <w:spacing w:after="0"/>
        <w:jc w:val="both"/>
        <w:textAlignment w:val="baseline"/>
        <w:rPr>
          <w:rFonts w:ascii="Calibri" w:eastAsia="Times New Roman" w:hAnsi="Calibri" w:cs="Calibri"/>
          <w:lang w:val="en-IE" w:eastAsia="en-IE"/>
        </w:rPr>
      </w:pPr>
      <w:r w:rsidRPr="22B97D05">
        <w:rPr>
          <w:rFonts w:ascii="Calibri" w:eastAsia="Times New Roman" w:hAnsi="Calibri" w:cs="Calibri"/>
          <w:lang w:val="en-IE" w:eastAsia="en-IE"/>
        </w:rPr>
        <w:t>The aim of the Strategic Consultancy Grant is to improve the strategic capability of Enterprise Ireland client companies by encouraging them to engage outside consultants to assist in the development and implementation of specific strategic and/or tactical initiatives within the company. The programme will facilitate business growth as consultants act as coaches, mentors, counsellors, facilitators, analysts and/or negotiators for the company. </w:t>
      </w:r>
    </w:p>
    <w:p w14:paraId="722BA7FC" w14:textId="77777777" w:rsidR="000D5B9A" w:rsidRPr="000B1D69" w:rsidRDefault="000D5B9A" w:rsidP="00057E4F">
      <w:pPr>
        <w:spacing w:after="0"/>
        <w:rPr>
          <w:lang w:val="en-IE" w:eastAsia="en-IE"/>
        </w:rPr>
      </w:pPr>
    </w:p>
    <w:p w14:paraId="3ECCD6F9" w14:textId="37A4772E" w:rsidR="00057E4F" w:rsidRPr="001B50CF" w:rsidRDefault="00057E4F" w:rsidP="001B50CF">
      <w:pPr>
        <w:pStyle w:val="Heading2"/>
        <w:rPr>
          <w:rFonts w:eastAsia="Times New Roman"/>
          <w:lang w:val="en-IE" w:eastAsia="en-IE"/>
        </w:rPr>
      </w:pPr>
      <w:r w:rsidRPr="000B1D69">
        <w:rPr>
          <w:rFonts w:eastAsia="Times New Roman"/>
          <w:lang w:val="en-IE" w:eastAsia="en-IE"/>
        </w:rPr>
        <w:t>1.1.1 Strategic Consultancy Grant</w:t>
      </w:r>
    </w:p>
    <w:p w14:paraId="535FF5C8"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val="en-IE" w:eastAsia="en-IE"/>
        </w:rPr>
        <w:t>Eligible Activities for SME and Large companies are outlined in the table below.</w:t>
      </w:r>
    </w:p>
    <w:p w14:paraId="2364E601" w14:textId="77777777" w:rsidR="00057E4F" w:rsidRPr="000B1D69" w:rsidRDefault="00057E4F" w:rsidP="00057E4F">
      <w:pPr>
        <w:spacing w:after="0"/>
        <w:textAlignment w:val="baseline"/>
        <w:rPr>
          <w:rFonts w:ascii="Calibri" w:eastAsia="Times New Roman" w:hAnsi="Calibri" w:cs="Calibri"/>
          <w:lang w:val="en-IE" w:eastAsia="en-IE"/>
        </w:rPr>
      </w:pPr>
    </w:p>
    <w:tbl>
      <w:tblPr>
        <w:tblStyle w:val="GridTable1Light-Accent1"/>
        <w:tblW w:w="10065" w:type="dxa"/>
        <w:tblLayout w:type="fixed"/>
        <w:tblLook w:val="06A0" w:firstRow="1" w:lastRow="0" w:firstColumn="1" w:lastColumn="0" w:noHBand="1" w:noVBand="1"/>
      </w:tblPr>
      <w:tblGrid>
        <w:gridCol w:w="1843"/>
        <w:gridCol w:w="8222"/>
      </w:tblGrid>
      <w:tr w:rsidR="00057E4F" w:rsidRPr="000B1D69" w14:paraId="40AEF72A"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43" w:type="dxa"/>
          </w:tcPr>
          <w:p w14:paraId="70D880DD" w14:textId="77777777" w:rsidR="00057E4F" w:rsidRPr="000B1D69" w:rsidRDefault="00057E4F">
            <w:pPr>
              <w:textAlignment w:val="baseline"/>
              <w:rPr>
                <w:rFonts w:ascii="Calibri" w:eastAsia="Times New Roman" w:hAnsi="Calibri" w:cs="Calibri"/>
                <w:lang w:val="en-IE" w:eastAsia="en-IE"/>
              </w:rPr>
            </w:pPr>
            <w:r w:rsidRPr="000B1D69">
              <w:rPr>
                <w:rFonts w:ascii="Calibri" w:eastAsia="Times New Roman" w:hAnsi="Calibri" w:cs="Calibri"/>
                <w:lang w:val="en-IE" w:eastAsia="en-IE"/>
              </w:rPr>
              <w:t>Eligible Companies</w:t>
            </w:r>
          </w:p>
        </w:tc>
        <w:tc>
          <w:tcPr>
            <w:tcW w:w="8222" w:type="dxa"/>
          </w:tcPr>
          <w:p w14:paraId="3CD48995" w14:textId="77777777" w:rsidR="00057E4F" w:rsidRPr="000B1D69" w:rsidRDefault="00057E4F">
            <w:pPr>
              <w:textAlignment w:val="baseline"/>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lang w:val="en-IE" w:eastAsia="en-IE"/>
              </w:rPr>
            </w:pPr>
            <w:r w:rsidRPr="000B1D69">
              <w:rPr>
                <w:rFonts w:ascii="Calibri" w:eastAsia="Times New Roman" w:hAnsi="Calibri" w:cs="Calibri"/>
                <w:lang w:val="en-IE" w:eastAsia="en-IE"/>
              </w:rPr>
              <w:t>Eligible Activity</w:t>
            </w:r>
          </w:p>
        </w:tc>
      </w:tr>
      <w:tr w:rsidR="00057E4F" w:rsidRPr="000B1D69" w14:paraId="628345CC" w14:textId="77777777">
        <w:tc>
          <w:tcPr>
            <w:cnfStyle w:val="001000000000" w:firstRow="0" w:lastRow="0" w:firstColumn="1" w:lastColumn="0" w:oddVBand="0" w:evenVBand="0" w:oddHBand="0" w:evenHBand="0" w:firstRowFirstColumn="0" w:firstRowLastColumn="0" w:lastRowFirstColumn="0" w:lastRowLastColumn="0"/>
            <w:tcW w:w="1843" w:type="dxa"/>
          </w:tcPr>
          <w:p w14:paraId="134CDE87" w14:textId="77777777" w:rsidR="00057E4F" w:rsidRPr="000B1D69" w:rsidRDefault="00057E4F">
            <w:pPr>
              <w:textAlignment w:val="baseline"/>
              <w:rPr>
                <w:rFonts w:ascii="Calibri" w:eastAsia="Times New Roman" w:hAnsi="Calibri" w:cs="Calibri"/>
                <w:lang w:val="en-IE" w:eastAsia="en-IE"/>
              </w:rPr>
            </w:pPr>
            <w:r w:rsidRPr="000B1D69">
              <w:rPr>
                <w:rFonts w:ascii="Calibri" w:eastAsia="Times New Roman" w:hAnsi="Calibri" w:cs="Calibri"/>
                <w:lang w:val="en-IE" w:eastAsia="en-IE"/>
              </w:rPr>
              <w:t>SME</w:t>
            </w:r>
          </w:p>
        </w:tc>
        <w:tc>
          <w:tcPr>
            <w:tcW w:w="8222" w:type="dxa"/>
          </w:tcPr>
          <w:p w14:paraId="07019379" w14:textId="77777777" w:rsidR="00057E4F" w:rsidRPr="000B1D69" w:rsidRDefault="00057E4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E" w:eastAsia="en-IE"/>
              </w:rPr>
            </w:pPr>
            <w:r w:rsidRPr="000B1D69">
              <w:rPr>
                <w:rFonts w:ascii="Calibri" w:eastAsia="Times New Roman" w:hAnsi="Calibri" w:cs="Calibri"/>
                <w:lang w:val="en-IE" w:eastAsia="en-IE"/>
              </w:rPr>
              <w:t xml:space="preserve">New assignments of strategic significance to the company such as a specific strategic review of one or more business functions and/or implementation of a new strategic initiative at a corporate or functional level </w:t>
            </w:r>
          </w:p>
        </w:tc>
      </w:tr>
      <w:tr w:rsidR="00057E4F" w:rsidRPr="000B1D69" w14:paraId="69B44B1D" w14:textId="77777777">
        <w:tc>
          <w:tcPr>
            <w:cnfStyle w:val="001000000000" w:firstRow="0" w:lastRow="0" w:firstColumn="1" w:lastColumn="0" w:oddVBand="0" w:evenVBand="0" w:oddHBand="0" w:evenHBand="0" w:firstRowFirstColumn="0" w:firstRowLastColumn="0" w:lastRowFirstColumn="0" w:lastRowLastColumn="0"/>
            <w:tcW w:w="1843" w:type="dxa"/>
          </w:tcPr>
          <w:p w14:paraId="61198FD4" w14:textId="77777777" w:rsidR="00057E4F" w:rsidRPr="000B1D69" w:rsidRDefault="00057E4F">
            <w:pPr>
              <w:textAlignment w:val="baseline"/>
              <w:rPr>
                <w:rFonts w:ascii="Calibri" w:eastAsia="Times New Roman" w:hAnsi="Calibri" w:cs="Calibri"/>
                <w:lang w:val="en-IE" w:eastAsia="en-IE"/>
              </w:rPr>
            </w:pPr>
            <w:r w:rsidRPr="000B1D69">
              <w:rPr>
                <w:rFonts w:ascii="Calibri" w:eastAsia="Times New Roman" w:hAnsi="Calibri" w:cs="Calibri"/>
                <w:lang w:val="en-IE" w:eastAsia="en-IE"/>
              </w:rPr>
              <w:t xml:space="preserve">Large </w:t>
            </w:r>
          </w:p>
        </w:tc>
        <w:tc>
          <w:tcPr>
            <w:tcW w:w="8222" w:type="dxa"/>
          </w:tcPr>
          <w:p w14:paraId="2CAFA75C" w14:textId="50A05B8C" w:rsidR="00057E4F" w:rsidRPr="000B1D69" w:rsidRDefault="00CF4FBF">
            <w:pPr>
              <w:textAlignment w:val="baseline"/>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lang w:val="en-IE" w:eastAsia="en-IE"/>
              </w:rPr>
            </w:pPr>
            <w:r>
              <w:rPr>
                <w:rFonts w:ascii="Calibri" w:eastAsia="Times New Roman" w:hAnsi="Calibri" w:cs="Calibri"/>
                <w:lang w:val="en-IE" w:eastAsia="en-IE"/>
              </w:rPr>
              <w:t xml:space="preserve">Environmental </w:t>
            </w:r>
            <w:r w:rsidR="00940409">
              <w:rPr>
                <w:rFonts w:ascii="Calibri" w:eastAsia="Times New Roman" w:hAnsi="Calibri" w:cs="Calibri"/>
                <w:lang w:val="en-IE" w:eastAsia="en-IE"/>
              </w:rPr>
              <w:t>studies</w:t>
            </w:r>
            <w:r>
              <w:rPr>
                <w:rFonts w:ascii="Calibri" w:eastAsia="Times New Roman" w:hAnsi="Calibri" w:cs="Calibri"/>
                <w:lang w:val="en-IE" w:eastAsia="en-IE"/>
              </w:rPr>
              <w:t xml:space="preserve"> </w:t>
            </w:r>
            <w:r w:rsidR="00940409" w:rsidRPr="00940409">
              <w:rPr>
                <w:rFonts w:ascii="Calibri" w:eastAsia="Times New Roman" w:hAnsi="Calibri" w:cs="Calibri"/>
                <w:lang w:val="en-IE" w:eastAsia="en-IE"/>
              </w:rPr>
              <w:t>or consultancy services directly linked to investments</w:t>
            </w:r>
            <w:r w:rsidR="00057E4F" w:rsidRPr="000B1D69">
              <w:rPr>
                <w:rStyle w:val="FootnoteReference"/>
                <w:rFonts w:ascii="Calibri" w:eastAsia="Times New Roman" w:hAnsi="Calibri" w:cs="Calibri"/>
                <w:lang w:val="en-IE" w:eastAsia="en-IE"/>
              </w:rPr>
              <w:footnoteReference w:id="2"/>
            </w:r>
          </w:p>
        </w:tc>
      </w:tr>
    </w:tbl>
    <w:p w14:paraId="44B27772" w14:textId="77777777" w:rsidR="00057E4F" w:rsidRPr="000B1D69" w:rsidRDefault="00057E4F" w:rsidP="00057E4F">
      <w:pPr>
        <w:spacing w:after="0"/>
        <w:textAlignment w:val="baseline"/>
        <w:rPr>
          <w:rFonts w:ascii="Calibri" w:eastAsia="Times New Roman" w:hAnsi="Calibri" w:cs="Calibri"/>
          <w:color w:val="3A3A3A"/>
          <w:lang w:val="en-IE" w:eastAsia="en-IE"/>
        </w:rPr>
      </w:pPr>
    </w:p>
    <w:p w14:paraId="0D9D1713" w14:textId="77777777" w:rsidR="00057E4F" w:rsidRPr="000B1D69" w:rsidRDefault="00057E4F" w:rsidP="00057E4F">
      <w:pPr>
        <w:spacing w:after="0"/>
        <w:textAlignment w:val="baseline"/>
        <w:rPr>
          <w:rFonts w:ascii="Calibri" w:eastAsia="Times New Roman" w:hAnsi="Calibri" w:cs="Calibri"/>
          <w:color w:val="000000" w:themeColor="text1"/>
          <w:lang w:val="en-IE" w:eastAsia="en-IE"/>
        </w:rPr>
      </w:pPr>
      <w:r w:rsidRPr="000B1D69">
        <w:rPr>
          <w:rFonts w:ascii="Calibri" w:eastAsia="Times New Roman" w:hAnsi="Calibri" w:cs="Calibri"/>
          <w:color w:val="000000" w:themeColor="text1"/>
          <w:lang w:val="en-IE" w:eastAsia="en-IE"/>
        </w:rPr>
        <w:t xml:space="preserve">The Strategic Consultancy Grant cannot be used to subsidise regular company operating costs. Routine or ongoing outsourced consultancy costs such as PR; marketing, legal, financial costs are not eligible for </w:t>
      </w:r>
      <w:r>
        <w:rPr>
          <w:rFonts w:ascii="Calibri" w:eastAsia="Times New Roman" w:hAnsi="Calibri" w:cs="Calibri"/>
          <w:color w:val="000000" w:themeColor="text1"/>
          <w:lang w:val="en-IE" w:eastAsia="en-IE"/>
        </w:rPr>
        <w:t>grant aid</w:t>
      </w:r>
      <w:r w:rsidRPr="000B1D69">
        <w:rPr>
          <w:rFonts w:ascii="Calibri" w:eastAsia="Times New Roman" w:hAnsi="Calibri" w:cs="Calibri"/>
          <w:color w:val="000000" w:themeColor="text1"/>
          <w:lang w:val="en-IE" w:eastAsia="en-IE"/>
        </w:rPr>
        <w:t xml:space="preserve">. </w:t>
      </w:r>
    </w:p>
    <w:p w14:paraId="5E8AF264" w14:textId="77777777" w:rsidR="00057E4F" w:rsidRPr="000B1D69" w:rsidRDefault="00057E4F" w:rsidP="00057E4F">
      <w:pPr>
        <w:spacing w:after="0"/>
        <w:textAlignment w:val="baseline"/>
        <w:rPr>
          <w:rFonts w:ascii="Calibri" w:eastAsia="Times New Roman" w:hAnsi="Calibri" w:cs="Calibri"/>
          <w:color w:val="000000" w:themeColor="text1"/>
          <w:lang w:val="en-IE" w:eastAsia="en-IE"/>
        </w:rPr>
      </w:pPr>
    </w:p>
    <w:p w14:paraId="7684A2F5" w14:textId="0A7DEF87" w:rsidR="00057E4F" w:rsidRPr="000B1D69" w:rsidRDefault="00057E4F" w:rsidP="00057E4F">
      <w:pPr>
        <w:spacing w:after="0"/>
        <w:textAlignment w:val="baseline"/>
        <w:rPr>
          <w:rFonts w:ascii="Calibri" w:eastAsia="Times New Roman" w:hAnsi="Calibri" w:cs="Calibri"/>
          <w:color w:val="000000" w:themeColor="text1"/>
          <w:lang w:val="en-IE" w:eastAsia="en-IE"/>
        </w:rPr>
      </w:pPr>
      <w:r w:rsidRPr="000B1D69">
        <w:rPr>
          <w:rFonts w:ascii="Calibri" w:eastAsia="Times New Roman" w:hAnsi="Calibri" w:cs="Calibri"/>
          <w:color w:val="000000" w:themeColor="text1"/>
          <w:lang w:val="en-IE" w:eastAsia="en-IE"/>
        </w:rPr>
        <w:t xml:space="preserve">Energy audits mandated under the European Energy Efficiency Directive </w:t>
      </w:r>
      <w:bookmarkStart w:id="1" w:name="_Hlk146807403"/>
      <w:r w:rsidR="00CF02DF" w:rsidRPr="00CF02DF">
        <w:rPr>
          <w:rFonts w:ascii="Calibri" w:eastAsia="Times New Roman" w:hAnsi="Calibri" w:cs="Calibri"/>
          <w:color w:val="000000" w:themeColor="text1"/>
          <w:lang w:val="en-IE" w:eastAsia="en-IE"/>
        </w:rPr>
        <w:t xml:space="preserve">2012/27/EU </w:t>
      </w:r>
      <w:bookmarkEnd w:id="1"/>
      <w:r w:rsidRPr="000B1D69">
        <w:rPr>
          <w:rFonts w:ascii="Calibri" w:eastAsia="Times New Roman" w:hAnsi="Calibri" w:cs="Calibri"/>
          <w:color w:val="000000" w:themeColor="text1"/>
          <w:lang w:val="en-IE" w:eastAsia="en-IE"/>
        </w:rPr>
        <w:t xml:space="preserve">(SI 426 of 2014) are not eligible for </w:t>
      </w:r>
      <w:r>
        <w:rPr>
          <w:rFonts w:ascii="Calibri" w:eastAsia="Times New Roman" w:hAnsi="Calibri" w:cs="Calibri"/>
          <w:color w:val="000000" w:themeColor="text1"/>
          <w:lang w:val="en-IE" w:eastAsia="en-IE"/>
        </w:rPr>
        <w:t>aid</w:t>
      </w:r>
      <w:r w:rsidRPr="000B1D69">
        <w:rPr>
          <w:rFonts w:ascii="Calibri" w:eastAsia="Times New Roman" w:hAnsi="Calibri" w:cs="Calibri"/>
          <w:color w:val="000000" w:themeColor="text1"/>
          <w:lang w:val="en-IE" w:eastAsia="en-IE"/>
        </w:rPr>
        <w:t xml:space="preserve">. </w:t>
      </w:r>
    </w:p>
    <w:p w14:paraId="596C964D" w14:textId="77777777" w:rsidR="00057E4F" w:rsidRDefault="00057E4F" w:rsidP="00057E4F">
      <w:pPr>
        <w:spacing w:after="0"/>
        <w:textAlignment w:val="baseline"/>
        <w:rPr>
          <w:rFonts w:ascii="Calibri" w:eastAsia="Times New Roman" w:hAnsi="Calibri" w:cs="Calibri"/>
          <w:color w:val="000000" w:themeColor="text1"/>
          <w:lang w:val="en-IE" w:eastAsia="en-IE"/>
        </w:rPr>
      </w:pPr>
      <w:r>
        <w:rPr>
          <w:rFonts w:ascii="Calibri" w:eastAsia="Times New Roman" w:hAnsi="Calibri" w:cs="Calibri"/>
          <w:color w:val="000000" w:themeColor="text1"/>
          <w:lang w:val="en-IE" w:eastAsia="en-IE"/>
        </w:rPr>
        <w:t>Assistance</w:t>
      </w:r>
      <w:r w:rsidRPr="000B1D69">
        <w:rPr>
          <w:rFonts w:ascii="Calibri" w:eastAsia="Times New Roman" w:hAnsi="Calibri" w:cs="Calibri"/>
          <w:color w:val="000000" w:themeColor="text1"/>
          <w:lang w:val="en-IE" w:eastAsia="en-IE"/>
        </w:rPr>
        <w:t xml:space="preserve"> may be approved against eligible</w:t>
      </w:r>
      <w:r w:rsidRPr="000B1D69">
        <w:rPr>
          <w:rFonts w:ascii="Calibri" w:eastAsia="Times New Roman" w:hAnsi="Calibri" w:cs="Calibri"/>
          <w:b/>
          <w:bCs/>
          <w:color w:val="000000" w:themeColor="text1"/>
          <w:lang w:val="en-IE" w:eastAsia="en-IE"/>
        </w:rPr>
        <w:t> Consultancy Costs </w:t>
      </w:r>
      <w:r w:rsidRPr="000B1D69">
        <w:rPr>
          <w:rFonts w:ascii="Calibri" w:eastAsia="Times New Roman" w:hAnsi="Calibri" w:cs="Calibri"/>
          <w:color w:val="000000" w:themeColor="text1"/>
          <w:lang w:val="en-IE" w:eastAsia="en-IE"/>
        </w:rPr>
        <w:t>associated with the Strategic Consultancy project. </w:t>
      </w:r>
    </w:p>
    <w:p w14:paraId="072E9DD8" w14:textId="77777777" w:rsidR="00D47DEE" w:rsidRPr="000B1D69" w:rsidRDefault="00D47DEE" w:rsidP="00057E4F">
      <w:pPr>
        <w:spacing w:after="0"/>
        <w:textAlignment w:val="baseline"/>
        <w:rPr>
          <w:rFonts w:ascii="Calibri" w:eastAsia="Times New Roman" w:hAnsi="Calibri" w:cs="Calibri"/>
          <w:color w:val="000000" w:themeColor="text1"/>
          <w:lang w:val="en-IE" w:eastAsia="en-IE"/>
        </w:rPr>
      </w:pPr>
    </w:p>
    <w:p w14:paraId="18CA4177" w14:textId="77777777" w:rsidR="00057E4F" w:rsidRPr="000B1D69" w:rsidRDefault="00057E4F" w:rsidP="00057E4F">
      <w:pPr>
        <w:spacing w:after="0"/>
        <w:textAlignment w:val="baseline"/>
        <w:rPr>
          <w:rFonts w:ascii="Calibri" w:eastAsia="Times New Roman" w:hAnsi="Calibri" w:cs="Calibri"/>
          <w:lang w:eastAsia="en-IE"/>
        </w:rPr>
      </w:pPr>
      <w:r w:rsidRPr="000B1D69">
        <w:rPr>
          <w:rFonts w:ascii="Calibri" w:eastAsia="Times New Roman" w:hAnsi="Calibri" w:cs="Calibri"/>
          <w:color w:val="3A3A3A"/>
          <w:lang w:eastAsia="en-IE"/>
        </w:rPr>
        <w:t> </w:t>
      </w:r>
    </w:p>
    <w:p w14:paraId="223E2F26" w14:textId="77777777" w:rsidR="00057E4F" w:rsidRPr="000B1D69" w:rsidRDefault="00057E4F" w:rsidP="00057E4F">
      <w:pPr>
        <w:pStyle w:val="Heading1"/>
        <w:rPr>
          <w:rFonts w:eastAsia="Times New Roman"/>
          <w:color w:val="auto"/>
          <w:lang w:val="en-IE" w:eastAsia="en-IE"/>
        </w:rPr>
      </w:pPr>
      <w:r w:rsidRPr="000B1D69">
        <w:rPr>
          <w:rFonts w:eastAsia="Times New Roman"/>
          <w:lang w:val="en-IE" w:eastAsia="en-IE"/>
        </w:rPr>
        <w:t>2. Legal / State Aid Basis </w:t>
      </w:r>
    </w:p>
    <w:p w14:paraId="46A39221" w14:textId="77777777" w:rsidR="00057E4F" w:rsidRPr="000B1D69" w:rsidRDefault="00057E4F" w:rsidP="00057E4F">
      <w:pPr>
        <w:pStyle w:val="Heading2"/>
        <w:rPr>
          <w:rFonts w:eastAsia="Times New Roman"/>
          <w:lang w:val="en-IE" w:eastAsia="en-IE"/>
        </w:rPr>
      </w:pPr>
      <w:r w:rsidRPr="000B1D69">
        <w:rPr>
          <w:rFonts w:eastAsia="Times New Roman"/>
          <w:lang w:val="en-IE" w:eastAsia="en-IE"/>
        </w:rPr>
        <w:t>2.1 Strategic Consultancy Grant</w:t>
      </w:r>
    </w:p>
    <w:p w14:paraId="0C29E737" w14:textId="77777777" w:rsidR="00057E4F" w:rsidRPr="000B1D69" w:rsidRDefault="00057E4F" w:rsidP="00057E4F">
      <w:pPr>
        <w:spacing w:after="0"/>
        <w:textAlignment w:val="baseline"/>
        <w:rPr>
          <w:rFonts w:ascii="Calibri" w:eastAsia="Times New Roman" w:hAnsi="Calibri" w:cs="Calibri"/>
          <w:color w:val="3A3A3A"/>
          <w:lang w:val="en-IE" w:eastAsia="en-IE"/>
        </w:rPr>
      </w:pPr>
      <w:r>
        <w:rPr>
          <w:rFonts w:ascii="Calibri" w:eastAsia="Times New Roman" w:hAnsi="Calibri" w:cs="Calibri"/>
          <w:color w:val="3A3A3A"/>
          <w:lang w:val="en-IE" w:eastAsia="en-IE"/>
        </w:rPr>
        <w:t xml:space="preserve">The </w:t>
      </w:r>
      <w:r w:rsidRPr="000B1D69">
        <w:rPr>
          <w:rFonts w:ascii="Calibri" w:eastAsia="Times New Roman" w:hAnsi="Calibri" w:cs="Calibri"/>
          <w:color w:val="3A3A3A"/>
          <w:lang w:val="en-IE" w:eastAsia="en-IE"/>
        </w:rPr>
        <w:t xml:space="preserve">Strategic Consultancy </w:t>
      </w:r>
      <w:r>
        <w:rPr>
          <w:rFonts w:ascii="Calibri" w:eastAsia="Times New Roman" w:hAnsi="Calibri" w:cs="Calibri"/>
          <w:color w:val="3A3A3A"/>
          <w:lang w:val="en-IE" w:eastAsia="en-IE"/>
        </w:rPr>
        <w:t xml:space="preserve">Programme </w:t>
      </w:r>
      <w:r w:rsidRPr="000B1D69">
        <w:rPr>
          <w:rFonts w:ascii="Calibri" w:eastAsia="Times New Roman" w:hAnsi="Calibri" w:cs="Calibri"/>
          <w:color w:val="3A3A3A"/>
          <w:lang w:val="en-IE" w:eastAsia="en-IE"/>
        </w:rPr>
        <w:t xml:space="preserve">is administered in accordance with the </w:t>
      </w:r>
      <w:r w:rsidRPr="000B1D69">
        <w:rPr>
          <w:rFonts w:ascii="Calibri" w:eastAsia="Times New Roman" w:hAnsi="Calibri" w:cs="Calibri"/>
          <w:bCs/>
          <w:lang w:val="en-IE" w:eastAsia="en-IE"/>
          <w14:textOutline w14:w="0" w14:cap="flat" w14:cmpd="sng" w14:algn="ctr">
            <w14:noFill/>
            <w14:prstDash w14:val="solid"/>
            <w14:round/>
          </w14:textOutline>
          <w14:props3d w14:extrusionH="57150" w14:contourW="0" w14:prstMaterial="softEdge">
            <w14:bevelT w14:w="25400" w14:h="38100" w14:prst="circle"/>
          </w14:props3d>
        </w:rPr>
        <w:t>Industrial Development Act 1998, Section 7</w:t>
      </w:r>
      <w:r w:rsidRPr="000B1D69">
        <w:rPr>
          <w:rFonts w:ascii="Calibri" w:eastAsia="Times New Roman" w:hAnsi="Calibri" w:cs="Calibri"/>
          <w:b/>
          <w:lang w:val="en-IE" w:eastAsia="en-IE"/>
          <w14:textOutline w14:w="0" w14:cap="flat" w14:cmpd="sng" w14:algn="ctr">
            <w14:noFill/>
            <w14:prstDash w14:val="solid"/>
            <w14:round/>
          </w14:textOutline>
          <w14:props3d w14:extrusionH="57150" w14:contourW="0" w14:prstMaterial="softEdge">
            <w14:bevelT w14:w="25400" w14:h="38100" w14:prst="circle"/>
          </w14:props3d>
        </w:rPr>
        <w:t xml:space="preserve"> </w:t>
      </w:r>
      <w:r w:rsidRPr="000B1D69">
        <w:rPr>
          <w:rFonts w:ascii="Calibri" w:eastAsia="Times New Roman" w:hAnsi="Calibri" w:cs="Calibri"/>
          <w:color w:val="3A3A3A"/>
          <w:lang w:val="en-IE" w:eastAsia="en-IE"/>
        </w:rPr>
        <w:t xml:space="preserve">(as amended). </w:t>
      </w:r>
    </w:p>
    <w:p w14:paraId="3E97D9AF" w14:textId="42D4C087" w:rsidR="00057E4F" w:rsidRPr="000B1D69" w:rsidRDefault="6734902C" w:rsidP="22B97D05">
      <w:pPr>
        <w:pStyle w:val="ListParagraph"/>
        <w:numPr>
          <w:ilvl w:val="0"/>
          <w:numId w:val="9"/>
        </w:numPr>
        <w:spacing w:before="0" w:after="0"/>
        <w:textAlignment w:val="baseline"/>
        <w:rPr>
          <w:rFonts w:eastAsia="Times New Roman"/>
          <w:color w:val="3A3A3A"/>
          <w:lang w:eastAsia="en-IE"/>
        </w:rPr>
      </w:pPr>
      <w:r w:rsidRPr="22B97D05">
        <w:rPr>
          <w:rFonts w:eastAsia="Times New Roman"/>
          <w:color w:val="3A3A3A"/>
          <w:lang w:eastAsia="en-IE"/>
        </w:rPr>
        <w:t xml:space="preserve">The State Aid basis is </w:t>
      </w:r>
      <w:r w:rsidR="1A8CD9E1" w:rsidRPr="22B97D05">
        <w:rPr>
          <w:rFonts w:eastAsia="Times New Roman"/>
          <w:color w:val="3A3A3A"/>
          <w:lang w:eastAsia="en-IE"/>
        </w:rPr>
        <w:t xml:space="preserve">Article 18 of </w:t>
      </w:r>
      <w:r w:rsidRPr="22B97D05">
        <w:rPr>
          <w:rFonts w:eastAsia="Times New Roman"/>
          <w:color w:val="3A3A3A"/>
          <w:lang w:eastAsia="en-IE"/>
        </w:rPr>
        <w:t>the Commission Regulation (EU) No. 2023/1315 of 23rd June 2023 amending regulation General Block Exemption Regulation No.651/2014</w:t>
      </w:r>
    </w:p>
    <w:p w14:paraId="6FF4210F" w14:textId="3BF3EFFA" w:rsidR="005076CB" w:rsidRPr="00CF02DF" w:rsidRDefault="00057E4F" w:rsidP="00CF02DF">
      <w:pPr>
        <w:pStyle w:val="ListParagraph"/>
        <w:numPr>
          <w:ilvl w:val="0"/>
          <w:numId w:val="9"/>
        </w:numPr>
        <w:spacing w:before="0" w:after="0"/>
        <w:textAlignment w:val="baseline"/>
        <w:rPr>
          <w:rFonts w:eastAsia="Times New Roman"/>
          <w:lang w:eastAsia="en-IE"/>
        </w:rPr>
      </w:pPr>
      <w:r w:rsidRPr="22B97D05">
        <w:rPr>
          <w:rFonts w:eastAsia="Times New Roman"/>
          <w:lang w:eastAsia="en-IE"/>
        </w:rPr>
        <w:lastRenderedPageBreak/>
        <w:t>The State Aid Basis for Large companies is under</w:t>
      </w:r>
      <w:r w:rsidR="4D8A1519" w:rsidRPr="22B97D05">
        <w:rPr>
          <w:rFonts w:eastAsia="Times New Roman"/>
          <w:lang w:eastAsia="en-IE"/>
        </w:rPr>
        <w:t xml:space="preserve"> </w:t>
      </w:r>
      <w:r w:rsidR="416A08D5" w:rsidRPr="22B97D05">
        <w:rPr>
          <w:rFonts w:eastAsia="Times New Roman"/>
          <w:lang w:eastAsia="en-IE"/>
        </w:rPr>
        <w:t xml:space="preserve">Article 49 of </w:t>
      </w:r>
      <w:r w:rsidR="4D8A1519" w:rsidRPr="22B97D05">
        <w:rPr>
          <w:rFonts w:eastAsia="Times New Roman"/>
          <w:lang w:eastAsia="en-IE"/>
        </w:rPr>
        <w:t xml:space="preserve">the </w:t>
      </w:r>
      <w:r w:rsidR="4D8A1519" w:rsidRPr="22B97D05">
        <w:rPr>
          <w:rFonts w:eastAsia="Times New Roman"/>
          <w:color w:val="3A3A3A"/>
          <w:lang w:eastAsia="en-IE"/>
        </w:rPr>
        <w:t xml:space="preserve">Commission Regulation (EU) No. 2023/1315 of 23rd June 2023 amending regulation General Block Exemption Regulation No.651/2014, </w:t>
      </w:r>
      <w:r w:rsidRPr="22B97D05">
        <w:rPr>
          <w:rFonts w:eastAsia="Times New Roman"/>
          <w:lang w:eastAsia="en-IE"/>
        </w:rPr>
        <w:t>Environmental Aid Scheme</w:t>
      </w:r>
      <w:r w:rsidR="00987F2F" w:rsidRPr="22B97D05">
        <w:rPr>
          <w:rFonts w:eastAsia="Times New Roman"/>
          <w:lang w:eastAsia="en-IE"/>
        </w:rPr>
        <w:t xml:space="preserve"> </w:t>
      </w:r>
    </w:p>
    <w:p w14:paraId="7DFA9BAA" w14:textId="3992AF9E" w:rsidR="005076CB" w:rsidRPr="00CF02DF" w:rsidRDefault="008E113D" w:rsidP="00CF02DF">
      <w:pPr>
        <w:pStyle w:val="ListParagraph"/>
        <w:numPr>
          <w:ilvl w:val="0"/>
          <w:numId w:val="9"/>
        </w:numPr>
        <w:spacing w:before="0" w:after="0"/>
        <w:textAlignment w:val="baseline"/>
        <w:rPr>
          <w:rFonts w:eastAsia="Times New Roman"/>
          <w:lang w:eastAsia="en-IE"/>
        </w:rPr>
      </w:pPr>
      <w:r w:rsidRPr="22B97D05">
        <w:rPr>
          <w:rFonts w:eastAsia="Times New Roman"/>
          <w:lang w:eastAsia="en-IE"/>
        </w:rPr>
        <w:t xml:space="preserve">Eligible activities for Large Companies are limited to </w:t>
      </w:r>
      <w:r w:rsidR="00947185" w:rsidRPr="22B97D05">
        <w:rPr>
          <w:rFonts w:eastAsia="Times New Roman"/>
          <w:lang w:eastAsia="en-IE"/>
        </w:rPr>
        <w:t xml:space="preserve">environmental </w:t>
      </w:r>
      <w:r w:rsidRPr="22B97D05">
        <w:rPr>
          <w:rFonts w:eastAsia="Times New Roman"/>
          <w:lang w:eastAsia="en-IE"/>
        </w:rPr>
        <w:t>studies o</w:t>
      </w:r>
      <w:r w:rsidR="007F63FC" w:rsidRPr="22B97D05">
        <w:rPr>
          <w:rFonts w:eastAsia="Times New Roman"/>
          <w:lang w:eastAsia="en-IE"/>
        </w:rPr>
        <w:t>r consultancy services directly li</w:t>
      </w:r>
      <w:r w:rsidR="00940409" w:rsidRPr="22B97D05">
        <w:rPr>
          <w:rFonts w:eastAsia="Times New Roman"/>
          <w:lang w:eastAsia="en-IE"/>
        </w:rPr>
        <w:t>n</w:t>
      </w:r>
      <w:r w:rsidR="007F63FC" w:rsidRPr="22B97D05">
        <w:rPr>
          <w:rFonts w:eastAsia="Times New Roman"/>
          <w:lang w:eastAsia="en-IE"/>
        </w:rPr>
        <w:t>ked to investments</w:t>
      </w:r>
      <w:r w:rsidR="005076CB" w:rsidRPr="22B97D05">
        <w:rPr>
          <w:rFonts w:eastAsia="Times New Roman"/>
          <w:lang w:eastAsia="en-IE"/>
        </w:rPr>
        <w:t xml:space="preserve">. Where the entire study or consultancy service concerns investments eligible for aid, the eligible costs shall be the costs of the study or consultancy service. Where only part of the study or consultancy service concerns investments eligible for aid, the eligible costs shall be the costs of the part of the study or consultancy service relating to those investments. </w:t>
      </w:r>
    </w:p>
    <w:p w14:paraId="6CF0B7C8" w14:textId="21931617" w:rsidR="00057E4F" w:rsidRPr="000B1D69" w:rsidRDefault="00223A0D" w:rsidP="00057E4F">
      <w:pPr>
        <w:pStyle w:val="ListParagraph"/>
        <w:numPr>
          <w:ilvl w:val="0"/>
          <w:numId w:val="9"/>
        </w:numPr>
        <w:spacing w:before="0" w:after="0"/>
        <w:textAlignment w:val="baseline"/>
        <w:rPr>
          <w:rFonts w:eastAsia="Times New Roman"/>
          <w:lang w:eastAsia="en-IE"/>
        </w:rPr>
      </w:pPr>
      <w:r>
        <w:rPr>
          <w:rFonts w:eastAsia="Times New Roman"/>
          <w:color w:val="3A3A3A"/>
          <w:lang w:eastAsia="en-IE"/>
        </w:rPr>
        <w:t>Assistance</w:t>
      </w:r>
      <w:r w:rsidR="00057E4F" w:rsidRPr="000B1D69">
        <w:rPr>
          <w:rFonts w:eastAsia="Times New Roman"/>
          <w:color w:val="3A3A3A"/>
          <w:lang w:eastAsia="en-IE"/>
        </w:rPr>
        <w:t xml:space="preserve"> is approved under delegation to Sectoral Departmental/Divisional Management. </w:t>
      </w:r>
    </w:p>
    <w:p w14:paraId="69C75A61" w14:textId="77777777" w:rsidR="00057E4F" w:rsidRPr="000B1D69" w:rsidRDefault="00057E4F" w:rsidP="00057E4F">
      <w:pPr>
        <w:spacing w:after="0"/>
        <w:textAlignment w:val="baseline"/>
        <w:rPr>
          <w:rFonts w:ascii="Calibri" w:eastAsia="Times New Roman" w:hAnsi="Calibri" w:cs="Calibri"/>
          <w:lang w:eastAsia="en-IE"/>
        </w:rPr>
      </w:pPr>
      <w:r w:rsidRPr="000B1D69">
        <w:rPr>
          <w:rFonts w:ascii="Calibri" w:eastAsia="Times New Roman" w:hAnsi="Calibri" w:cs="Calibri"/>
          <w:color w:val="3A3A3A"/>
          <w:lang w:eastAsia="en-IE"/>
        </w:rPr>
        <w:t> </w:t>
      </w:r>
    </w:p>
    <w:p w14:paraId="2A09DFFF" w14:textId="4AFC6D8E" w:rsidR="00740AA6" w:rsidRDefault="00740AA6" w:rsidP="00740AA6">
      <w:pPr>
        <w:pStyle w:val="Heading2"/>
        <w:rPr>
          <w:highlight w:val="yellow"/>
        </w:rPr>
      </w:pPr>
    </w:p>
    <w:p w14:paraId="56373606" w14:textId="600E2C76" w:rsidR="00740AA6" w:rsidRPr="00740AA6" w:rsidRDefault="00740AA6" w:rsidP="00740AA6">
      <w:pPr>
        <w:pStyle w:val="Heading2"/>
        <w:rPr>
          <w:rFonts w:eastAsia="Times New Roman"/>
          <w:lang w:val="en-IE" w:eastAsia="en-IE"/>
        </w:rPr>
      </w:pPr>
      <w:r w:rsidRPr="000B1D69">
        <w:rPr>
          <w:rFonts w:eastAsia="Times New Roman"/>
          <w:lang w:val="en-IE" w:eastAsia="en-IE"/>
        </w:rPr>
        <w:t>2.</w:t>
      </w:r>
      <w:r w:rsidR="00542593">
        <w:rPr>
          <w:rFonts w:eastAsia="Times New Roman"/>
          <w:lang w:val="en-IE" w:eastAsia="en-IE"/>
        </w:rPr>
        <w:t>2</w:t>
      </w:r>
      <w:r w:rsidRPr="000B1D69">
        <w:rPr>
          <w:rFonts w:eastAsia="Times New Roman"/>
          <w:lang w:val="en-IE" w:eastAsia="en-IE"/>
        </w:rPr>
        <w:t xml:space="preserve"> </w:t>
      </w:r>
      <w:r w:rsidRPr="00740AA6">
        <w:t xml:space="preserve">EU Recovery and Resilience Facility – </w:t>
      </w:r>
      <w:r w:rsidR="00CA2DE8">
        <w:t xml:space="preserve">Environmental Compliance &amp; </w:t>
      </w:r>
      <w:r w:rsidRPr="00740AA6">
        <w:t xml:space="preserve">Do no Significant Harm </w:t>
      </w:r>
    </w:p>
    <w:p w14:paraId="2D1E7BFB" w14:textId="692DC4C5" w:rsidR="00695703" w:rsidRPr="00695703" w:rsidRDefault="00740AA6" w:rsidP="000E1665">
      <w:pPr>
        <w:rPr>
          <w:rFonts w:ascii="Calibri" w:eastAsia="Times New Roman" w:hAnsi="Calibri" w:cs="Calibri"/>
          <w:sz w:val="22"/>
          <w:szCs w:val="22"/>
          <w:lang w:eastAsia="en-IE"/>
        </w:rPr>
      </w:pPr>
      <w:r w:rsidRPr="00740AA6">
        <w:t xml:space="preserve">Where projects are funded under the EU’s Recovery and Resilience Facility </w:t>
      </w:r>
      <w:r w:rsidRPr="00041E16">
        <w:t>(Carbon Reduction Fund</w:t>
      </w:r>
      <w:r w:rsidR="00E93A77" w:rsidRPr="00041E16">
        <w:rPr>
          <w:rStyle w:val="FootnoteReference"/>
        </w:rPr>
        <w:footnoteReference w:id="3"/>
      </w:r>
      <w:r w:rsidRPr="00041E16">
        <w:t>, Climate Enterprise Action Fund</w:t>
      </w:r>
      <w:r w:rsidR="00405A0E" w:rsidRPr="00041E16">
        <w:rPr>
          <w:rStyle w:val="FootnoteReference"/>
        </w:rPr>
        <w:footnoteReference w:id="4"/>
      </w:r>
      <w:r w:rsidRPr="00041E16">
        <w:t>,</w:t>
      </w:r>
      <w:r w:rsidRPr="00740AA6">
        <w:t xml:space="preserve"> or Digital Transition Fund), they must comply with the relevant EU and national environmental legislation and in particular with the ‘Do no significant harm’ Technical Guidance (2021/C58/01). </w:t>
      </w:r>
    </w:p>
    <w:p w14:paraId="0587298C" w14:textId="1EF4F157" w:rsidR="00695703" w:rsidRPr="00695703" w:rsidRDefault="003B248F" w:rsidP="00695703">
      <w:pPr>
        <w:spacing w:before="0" w:after="0"/>
        <w:jc w:val="both"/>
        <w:textAlignment w:val="baseline"/>
        <w:rPr>
          <w:rFonts w:ascii="Segoe UI" w:eastAsia="Times New Roman" w:hAnsi="Segoe UI" w:cs="Segoe UI"/>
          <w:lang w:val="en-IE" w:eastAsia="en-IE"/>
        </w:rPr>
      </w:pPr>
      <w:r w:rsidRPr="00695703">
        <w:rPr>
          <w:rFonts w:ascii="Calibri" w:eastAsia="Times New Roman" w:hAnsi="Calibri" w:cs="Calibri"/>
          <w:lang w:eastAsia="en-IE"/>
        </w:rPr>
        <w:t>Specifically,</w:t>
      </w:r>
      <w:r w:rsidR="00695703" w:rsidRPr="00695703">
        <w:rPr>
          <w:rFonts w:ascii="Calibri" w:eastAsia="Times New Roman" w:hAnsi="Calibri" w:cs="Calibri"/>
          <w:lang w:eastAsia="en-IE"/>
        </w:rPr>
        <w:t xml:space="preserve"> the following projects are not eligible</w:t>
      </w:r>
      <w:r w:rsidR="00695703" w:rsidRPr="00695703">
        <w:rPr>
          <w:rFonts w:ascii="Calibri" w:eastAsia="Times New Roman" w:hAnsi="Calibri" w:cs="Calibri"/>
          <w:lang w:val="en-US" w:eastAsia="en-IE"/>
        </w:rPr>
        <w:t>: </w:t>
      </w:r>
      <w:r w:rsidR="00695703" w:rsidRPr="00695703">
        <w:rPr>
          <w:rFonts w:ascii="Calibri" w:eastAsia="Times New Roman" w:hAnsi="Calibri" w:cs="Calibri"/>
          <w:lang w:val="en-IE" w:eastAsia="en-IE"/>
        </w:rPr>
        <w:t> </w:t>
      </w:r>
    </w:p>
    <w:p w14:paraId="674C4085" w14:textId="77777777" w:rsidR="000E1665" w:rsidRDefault="00695703" w:rsidP="000E1665">
      <w:pPr>
        <w:numPr>
          <w:ilvl w:val="0"/>
          <w:numId w:val="19"/>
        </w:numPr>
        <w:spacing w:before="0" w:after="0" w:line="259" w:lineRule="auto"/>
        <w:ind w:left="1080"/>
        <w:textAlignment w:val="baseline"/>
        <w:rPr>
          <w:rFonts w:ascii="Calibri" w:eastAsia="Times New Roman" w:hAnsi="Calibri" w:cs="Calibri"/>
          <w:lang w:val="en-IE" w:eastAsia="en-IE"/>
        </w:rPr>
      </w:pPr>
      <w:r w:rsidRPr="00695703">
        <w:rPr>
          <w:rFonts w:ascii="Calibri" w:eastAsia="Times New Roman" w:hAnsi="Calibri" w:cs="Calibri"/>
          <w:lang w:val="en-IE" w:eastAsia="en-IE"/>
        </w:rPr>
        <w:t>activities related to fossil fuels, including downstream use</w:t>
      </w:r>
      <w:r w:rsidRPr="00695703">
        <w:rPr>
          <w:rFonts w:ascii="Calibri" w:eastAsia="Times New Roman" w:hAnsi="Calibri" w:cs="Calibri"/>
          <w:vertAlign w:val="superscript"/>
          <w:lang w:val="en-IE" w:eastAsia="en-IE"/>
        </w:rPr>
        <w:t>1</w:t>
      </w:r>
      <w:r w:rsidRPr="00695703">
        <w:rPr>
          <w:rFonts w:ascii="Calibri" w:eastAsia="Times New Roman" w:hAnsi="Calibri" w:cs="Calibri"/>
          <w:lang w:val="en-IE" w:eastAsia="en-IE"/>
        </w:rPr>
        <w:t>;  </w:t>
      </w:r>
    </w:p>
    <w:p w14:paraId="2F6B4673" w14:textId="39B81D63" w:rsidR="00695703" w:rsidRPr="00695703" w:rsidRDefault="00695703" w:rsidP="000E1665">
      <w:pPr>
        <w:numPr>
          <w:ilvl w:val="0"/>
          <w:numId w:val="19"/>
        </w:numPr>
        <w:spacing w:before="0" w:after="0" w:line="259" w:lineRule="auto"/>
        <w:ind w:left="1080"/>
        <w:textAlignment w:val="baseline"/>
        <w:rPr>
          <w:rFonts w:ascii="Calibri" w:eastAsia="Times New Roman" w:hAnsi="Calibri" w:cs="Calibri"/>
          <w:lang w:val="en-IE" w:eastAsia="en-IE"/>
        </w:rPr>
      </w:pPr>
      <w:r w:rsidRPr="00695703">
        <w:rPr>
          <w:rFonts w:ascii="Calibri" w:eastAsia="Times New Roman" w:hAnsi="Calibri" w:cs="Calibri"/>
          <w:lang w:val="en-IE" w:eastAsia="en-IE"/>
        </w:rPr>
        <w:t>activities under the EU Emission Trading System (ETS) achieving projected greenhouse gas emissions that are not lower than the relevant benchmarks</w:t>
      </w:r>
      <w:r w:rsidRPr="00695703">
        <w:rPr>
          <w:rFonts w:ascii="Calibri" w:eastAsia="Times New Roman" w:hAnsi="Calibri" w:cs="Calibri"/>
          <w:vertAlign w:val="superscript"/>
          <w:lang w:val="en-IE" w:eastAsia="en-IE"/>
        </w:rPr>
        <w:t>2</w:t>
      </w:r>
      <w:r w:rsidRPr="00695703">
        <w:rPr>
          <w:rFonts w:ascii="Calibri" w:eastAsia="Times New Roman" w:hAnsi="Calibri" w:cs="Calibri"/>
          <w:lang w:val="en-IE" w:eastAsia="en-IE"/>
        </w:rPr>
        <w:t>;  </w:t>
      </w:r>
    </w:p>
    <w:p w14:paraId="417A633F" w14:textId="77777777" w:rsidR="00695703" w:rsidRPr="00695703" w:rsidRDefault="00695703" w:rsidP="00695703">
      <w:pPr>
        <w:numPr>
          <w:ilvl w:val="0"/>
          <w:numId w:val="19"/>
        </w:numPr>
        <w:spacing w:before="0" w:after="0" w:line="259" w:lineRule="auto"/>
        <w:ind w:left="1080"/>
        <w:textAlignment w:val="baseline"/>
        <w:rPr>
          <w:rFonts w:ascii="Calibri" w:eastAsia="Times New Roman" w:hAnsi="Calibri" w:cs="Calibri"/>
          <w:lang w:val="en-IE" w:eastAsia="en-IE"/>
        </w:rPr>
      </w:pPr>
      <w:r w:rsidRPr="00695703">
        <w:rPr>
          <w:rFonts w:ascii="Calibri" w:eastAsia="Times New Roman" w:hAnsi="Calibri" w:cs="Calibri"/>
          <w:lang w:val="en-IE" w:eastAsia="en-IE"/>
        </w:rPr>
        <w:t>activities related to waste landfills, incinerators</w:t>
      </w:r>
      <w:r w:rsidRPr="00695703">
        <w:rPr>
          <w:rFonts w:ascii="Calibri" w:eastAsia="Times New Roman" w:hAnsi="Calibri" w:cs="Calibri"/>
          <w:vertAlign w:val="superscript"/>
          <w:lang w:val="en-IE" w:eastAsia="en-IE"/>
        </w:rPr>
        <w:t>3</w:t>
      </w:r>
      <w:r w:rsidRPr="00695703">
        <w:rPr>
          <w:rFonts w:ascii="Calibri" w:eastAsia="Times New Roman" w:hAnsi="Calibri" w:cs="Calibri"/>
          <w:lang w:val="en-IE" w:eastAsia="en-IE"/>
        </w:rPr>
        <w:t xml:space="preserve"> and mechanical biological treatment plants</w:t>
      </w:r>
      <w:r w:rsidRPr="00695703">
        <w:rPr>
          <w:rFonts w:ascii="Calibri" w:eastAsia="Times New Roman" w:hAnsi="Calibri" w:cs="Calibri"/>
          <w:vertAlign w:val="superscript"/>
          <w:lang w:val="en-IE" w:eastAsia="en-IE"/>
        </w:rPr>
        <w:t>4</w:t>
      </w:r>
      <w:r w:rsidRPr="00695703">
        <w:rPr>
          <w:rFonts w:ascii="Calibri" w:eastAsia="Times New Roman" w:hAnsi="Calibri" w:cs="Calibri"/>
          <w:lang w:val="en-IE" w:eastAsia="en-IE"/>
        </w:rPr>
        <w:t>; and  </w:t>
      </w:r>
    </w:p>
    <w:p w14:paraId="0F3E4DF1" w14:textId="77777777" w:rsidR="00695703" w:rsidRPr="00695703" w:rsidRDefault="00695703" w:rsidP="00695703">
      <w:pPr>
        <w:numPr>
          <w:ilvl w:val="0"/>
          <w:numId w:val="20"/>
        </w:numPr>
        <w:spacing w:before="0" w:after="0" w:line="259" w:lineRule="auto"/>
        <w:ind w:left="1080"/>
        <w:textAlignment w:val="baseline"/>
        <w:rPr>
          <w:rFonts w:ascii="Calibri" w:eastAsia="Times New Roman" w:hAnsi="Calibri" w:cs="Calibri"/>
          <w:lang w:val="en-IE" w:eastAsia="en-IE"/>
        </w:rPr>
      </w:pPr>
      <w:r w:rsidRPr="00695703">
        <w:rPr>
          <w:rFonts w:ascii="Calibri" w:eastAsia="Times New Roman" w:hAnsi="Calibri" w:cs="Calibri"/>
          <w:lang w:val="en-IE" w:eastAsia="en-IE"/>
        </w:rPr>
        <w:t>activities where the long-term disposal of waste may cause harm to the environment.  </w:t>
      </w:r>
    </w:p>
    <w:p w14:paraId="6440D929" w14:textId="77777777" w:rsidR="00695703" w:rsidRPr="00695703" w:rsidRDefault="00695703" w:rsidP="00695703">
      <w:pPr>
        <w:spacing w:before="0" w:after="0"/>
        <w:textAlignment w:val="baseline"/>
        <w:rPr>
          <w:rFonts w:ascii="Segoe UI" w:eastAsia="Times New Roman" w:hAnsi="Segoe UI" w:cs="Segoe UI"/>
          <w:sz w:val="18"/>
          <w:szCs w:val="18"/>
          <w:lang w:val="en-IE" w:eastAsia="en-IE"/>
        </w:rPr>
      </w:pPr>
      <w:r w:rsidRPr="00695703">
        <w:rPr>
          <w:rFonts w:ascii="Calibri" w:eastAsia="Times New Roman" w:hAnsi="Calibri" w:cs="Calibri"/>
          <w:sz w:val="22"/>
          <w:szCs w:val="22"/>
          <w:lang w:val="en-IE" w:eastAsia="en-IE"/>
        </w:rPr>
        <w:t> </w:t>
      </w:r>
    </w:p>
    <w:p w14:paraId="26D7E618" w14:textId="77777777" w:rsidR="00695703" w:rsidRPr="00695703" w:rsidRDefault="00695703" w:rsidP="00695703">
      <w:pPr>
        <w:spacing w:before="0" w:after="0"/>
        <w:textAlignment w:val="baseline"/>
        <w:rPr>
          <w:rFonts w:ascii="Segoe UI" w:eastAsia="Times New Roman" w:hAnsi="Segoe UI" w:cs="Segoe UI"/>
          <w:sz w:val="18"/>
          <w:szCs w:val="18"/>
          <w:lang w:val="en-IE" w:eastAsia="en-IE"/>
        </w:rPr>
      </w:pPr>
      <w:r w:rsidRPr="00695703">
        <w:rPr>
          <w:rFonts w:ascii="Calibri" w:eastAsia="Times New Roman" w:hAnsi="Calibri" w:cs="Calibri"/>
          <w:sz w:val="17"/>
          <w:szCs w:val="17"/>
          <w:vertAlign w:val="superscript"/>
          <w:lang w:val="en-IE" w:eastAsia="en-IE"/>
        </w:rPr>
        <w:t xml:space="preserve">1 </w:t>
      </w:r>
      <w:r w:rsidRPr="00695703">
        <w:rPr>
          <w:sz w:val="22"/>
          <w:szCs w:val="22"/>
          <w:lang w:val="en-US"/>
        </w:rPr>
        <w:t>Except projects under this measure in power and/or heat generation, as well as related transmission and distribution infrastructure, using natural gas, that are compliant with the conditions set out in Annex III of the ‘Do no significant harm’ Technical Guidance (2021/C58/01).</w:t>
      </w:r>
      <w:r w:rsidRPr="00695703">
        <w:rPr>
          <w:rFonts w:ascii="Calibri" w:eastAsia="Times New Roman" w:hAnsi="Calibri" w:cs="Calibri"/>
          <w:sz w:val="22"/>
          <w:szCs w:val="22"/>
          <w:lang w:val="en-IE" w:eastAsia="en-IE"/>
        </w:rPr>
        <w:t> </w:t>
      </w:r>
    </w:p>
    <w:p w14:paraId="43A2E549" w14:textId="77777777" w:rsidR="00695703" w:rsidRPr="00695703" w:rsidRDefault="00695703" w:rsidP="00695703">
      <w:pPr>
        <w:spacing w:before="0" w:after="0"/>
        <w:textAlignment w:val="baseline"/>
        <w:rPr>
          <w:sz w:val="22"/>
          <w:szCs w:val="22"/>
          <w:lang w:val="en-US"/>
        </w:rPr>
      </w:pPr>
      <w:r w:rsidRPr="00695703">
        <w:rPr>
          <w:rFonts w:ascii="Calibri" w:eastAsia="Times New Roman" w:hAnsi="Calibri" w:cs="Calibri"/>
          <w:sz w:val="17"/>
          <w:szCs w:val="17"/>
          <w:vertAlign w:val="superscript"/>
          <w:lang w:val="en-IE" w:eastAsia="en-IE"/>
        </w:rPr>
        <w:t>2</w:t>
      </w:r>
      <w:r w:rsidRPr="00695703">
        <w:rPr>
          <w:rFonts w:ascii="Calibri" w:eastAsia="Times New Roman" w:hAnsi="Calibri" w:cs="Calibri"/>
          <w:sz w:val="22"/>
          <w:szCs w:val="22"/>
          <w:lang w:val="en-IE" w:eastAsia="en-IE"/>
        </w:rPr>
        <w:t xml:space="preserve"> </w:t>
      </w:r>
      <w:r w:rsidRPr="00695703">
        <w:rPr>
          <w:sz w:val="22"/>
          <w:szCs w:val="22"/>
          <w:lang w:val="en-US"/>
        </w:rPr>
        <w:t>Where the activity supported achieves projected greenhouse gas emissions that are not substantially lower than the relevant benchmarks an explanation of the reasons why this is not possible should be provided. Benchmarks established for free allocation for activities falling within the scope of the Emissions Trading System, as set out in the Commission Implementing Regulation (EU) 2021/447. </w:t>
      </w:r>
    </w:p>
    <w:p w14:paraId="5B42EEB2" w14:textId="77777777" w:rsidR="00695703" w:rsidRPr="00695703" w:rsidRDefault="00695703" w:rsidP="00695703">
      <w:pPr>
        <w:spacing w:before="0" w:after="0"/>
        <w:textAlignment w:val="baseline"/>
        <w:rPr>
          <w:sz w:val="22"/>
          <w:szCs w:val="22"/>
          <w:lang w:val="en-US"/>
        </w:rPr>
      </w:pPr>
      <w:r w:rsidRPr="00695703">
        <w:rPr>
          <w:rFonts w:ascii="Calibri" w:eastAsia="Times New Roman" w:hAnsi="Calibri" w:cs="Calibri"/>
          <w:sz w:val="17"/>
          <w:szCs w:val="17"/>
          <w:vertAlign w:val="superscript"/>
          <w:lang w:val="en-IE" w:eastAsia="en-IE"/>
        </w:rPr>
        <w:t xml:space="preserve">3 </w:t>
      </w:r>
      <w:r w:rsidRPr="00695703">
        <w:rPr>
          <w:sz w:val="22"/>
          <w:szCs w:val="22"/>
          <w:lang w:val="en-US"/>
        </w:rPr>
        <w:t>This exclusion does not apply to actions under this measure in plants exclusively dedicated to treating non-recyclable hazardous waste, and to existing plants, where the actions under this measure are for the purpose of increasing energy efficiency, capturing exhaust gases for storage or use or recovering materials from incineration ashes, provided such actions under this measure do not result in an increase of the plants’ waste processing capacity or in an extension of the lifetime of the plants; for which evidence is provided at plant level.</w:t>
      </w:r>
      <w:r w:rsidRPr="00695703">
        <w:rPr>
          <w:lang w:val="en-US"/>
        </w:rPr>
        <w:t> </w:t>
      </w:r>
    </w:p>
    <w:p w14:paraId="3E72A2BA" w14:textId="6058ED37" w:rsidR="00057E4F" w:rsidRPr="00CA2DE8" w:rsidRDefault="00695703" w:rsidP="00CA2DE8">
      <w:pPr>
        <w:spacing w:before="0" w:after="0"/>
        <w:textAlignment w:val="baseline"/>
        <w:rPr>
          <w:sz w:val="22"/>
          <w:szCs w:val="22"/>
          <w:lang w:val="en-US"/>
        </w:rPr>
      </w:pPr>
      <w:r w:rsidRPr="00695703">
        <w:rPr>
          <w:rFonts w:ascii="Calibri" w:eastAsia="Times New Roman" w:hAnsi="Calibri" w:cs="Calibri"/>
          <w:sz w:val="17"/>
          <w:szCs w:val="17"/>
          <w:vertAlign w:val="superscript"/>
          <w:lang w:val="en-IE" w:eastAsia="en-IE"/>
        </w:rPr>
        <w:t xml:space="preserve">4 </w:t>
      </w:r>
      <w:r w:rsidRPr="00695703">
        <w:rPr>
          <w:sz w:val="22"/>
          <w:szCs w:val="22"/>
          <w:lang w:val="en-US"/>
        </w:rPr>
        <w:t xml:space="preserve">This exclusion does not apply to actions under this measure in existing mechanical biological treatment plants, where the actions under this measure are for the purpose of increasing energy efficiency or retrofitting to recycling operations of separated waste to compost bio-waste and anaerobic digestion of </w:t>
      </w:r>
      <w:r w:rsidRPr="00695703">
        <w:rPr>
          <w:sz w:val="22"/>
          <w:szCs w:val="22"/>
          <w:lang w:val="en-US"/>
        </w:rPr>
        <w:lastRenderedPageBreak/>
        <w:t>bio-waste, provided such actions under this measure do not result in an increase of the plants’ waste processing capacity or in an extension of the lifetime of the plants; for which evidence is provided at plant level.</w:t>
      </w:r>
      <w:r w:rsidRPr="00695703">
        <w:rPr>
          <w:lang w:val="en-US"/>
        </w:rPr>
        <w:t> </w:t>
      </w:r>
    </w:p>
    <w:p w14:paraId="4ED99103" w14:textId="77777777" w:rsidR="00057E4F" w:rsidRPr="000B1D69" w:rsidRDefault="00057E4F" w:rsidP="00057E4F">
      <w:pPr>
        <w:pStyle w:val="Heading1"/>
        <w:numPr>
          <w:ilvl w:val="0"/>
          <w:numId w:val="7"/>
        </w:numPr>
        <w:ind w:left="720"/>
        <w:rPr>
          <w:rFonts w:eastAsia="Times New Roman"/>
          <w:lang w:val="en-IE" w:eastAsia="en-IE"/>
        </w:rPr>
      </w:pPr>
      <w:r w:rsidRPr="000B1D69">
        <w:rPr>
          <w:rFonts w:eastAsia="Times New Roman"/>
          <w:lang w:val="en-IE" w:eastAsia="en-IE"/>
        </w:rPr>
        <w:t>Call Close / Committee Dates </w:t>
      </w:r>
    </w:p>
    <w:p w14:paraId="200792D1" w14:textId="0FD85859" w:rsidR="00057E4F" w:rsidRPr="001B50CF" w:rsidRDefault="00057E4F" w:rsidP="00057E4F">
      <w:pPr>
        <w:spacing w:after="0"/>
        <w:textAlignment w:val="baseline"/>
        <w:rPr>
          <w:rFonts w:ascii="Calibri" w:eastAsia="Times New Roman" w:hAnsi="Calibri" w:cs="Calibri"/>
          <w:color w:val="3A3A3A"/>
          <w:lang w:val="en-IE" w:eastAsia="en-IE"/>
        </w:rPr>
      </w:pPr>
      <w:r>
        <w:rPr>
          <w:rFonts w:ascii="Calibri" w:eastAsia="Times New Roman" w:hAnsi="Calibri" w:cs="Calibri"/>
          <w:color w:val="3A3A3A"/>
          <w:lang w:val="en-IE" w:eastAsia="en-IE"/>
        </w:rPr>
        <w:t xml:space="preserve">The </w:t>
      </w:r>
      <w:r w:rsidRPr="000B1D69">
        <w:rPr>
          <w:rFonts w:ascii="Calibri" w:eastAsia="Times New Roman" w:hAnsi="Calibri" w:cs="Calibri"/>
          <w:color w:val="3A3A3A"/>
          <w:lang w:val="en-IE" w:eastAsia="en-IE"/>
        </w:rPr>
        <w:t xml:space="preserve">Strategic Consultancy </w:t>
      </w:r>
      <w:r>
        <w:rPr>
          <w:rFonts w:ascii="Calibri" w:eastAsia="Times New Roman" w:hAnsi="Calibri" w:cs="Calibri"/>
          <w:color w:val="3A3A3A"/>
          <w:lang w:val="en-IE" w:eastAsia="en-IE"/>
        </w:rPr>
        <w:t>programme</w:t>
      </w:r>
      <w:r w:rsidRPr="000B1D69">
        <w:rPr>
          <w:rFonts w:ascii="Calibri" w:eastAsia="Times New Roman" w:hAnsi="Calibri" w:cs="Calibri"/>
          <w:color w:val="3A3A3A"/>
          <w:lang w:val="en-IE" w:eastAsia="en-IE"/>
        </w:rPr>
        <w:t xml:space="preserve"> is not competitive and proposals for both the Strategic Consultancy Grant can be processed throughout the year. </w:t>
      </w:r>
    </w:p>
    <w:p w14:paraId="5D981E29" w14:textId="77777777" w:rsidR="00057E4F" w:rsidRPr="000B1D69" w:rsidRDefault="00057E4F" w:rsidP="00057E4F">
      <w:pPr>
        <w:pStyle w:val="Heading1"/>
        <w:rPr>
          <w:rFonts w:eastAsia="Times New Roman"/>
          <w:lang w:val="en-IE" w:eastAsia="en-IE"/>
        </w:rPr>
      </w:pPr>
      <w:r w:rsidRPr="000B1D69">
        <w:rPr>
          <w:rFonts w:eastAsia="Times New Roman"/>
          <w:lang w:eastAsia="en-IE"/>
        </w:rPr>
        <w:t>4. Eligibility </w:t>
      </w:r>
      <w:r w:rsidRPr="000B1D69">
        <w:rPr>
          <w:rFonts w:eastAsia="Times New Roman"/>
          <w:lang w:val="en-IE" w:eastAsia="en-IE"/>
        </w:rPr>
        <w:t> </w:t>
      </w:r>
    </w:p>
    <w:p w14:paraId="72A02C34" w14:textId="2A0BB8E0"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following companies are eligible to apply for this offer through the online system:</w:t>
      </w:r>
      <w:r w:rsidRPr="000B1D69">
        <w:rPr>
          <w:rFonts w:ascii="Calibri" w:eastAsia="Times New Roman" w:hAnsi="Calibri" w:cs="Calibri"/>
          <w:lang w:val="en-IE" w:eastAsia="en-IE"/>
        </w:rPr>
        <w:t> </w:t>
      </w:r>
    </w:p>
    <w:p w14:paraId="05CCB890" w14:textId="0D907274" w:rsidR="00057E4F" w:rsidRPr="000B1D69" w:rsidRDefault="00057E4F" w:rsidP="00057E4F">
      <w:pPr>
        <w:pStyle w:val="ListParagraph"/>
        <w:numPr>
          <w:ilvl w:val="0"/>
          <w:numId w:val="11"/>
        </w:numPr>
        <w:spacing w:before="0" w:after="0"/>
        <w:textAlignment w:val="baseline"/>
        <w:rPr>
          <w:rFonts w:eastAsia="Times New Roman"/>
          <w:lang w:eastAsia="en-IE"/>
        </w:rPr>
      </w:pPr>
      <w:r w:rsidRPr="22B97D05">
        <w:rPr>
          <w:rFonts w:eastAsia="Times New Roman"/>
          <w:lang w:val="en-US" w:eastAsia="en-IE"/>
        </w:rPr>
        <w:t>Small and Medium Established Clients</w:t>
      </w:r>
      <w:r w:rsidR="6BCC7690" w:rsidRPr="22B97D05">
        <w:rPr>
          <w:rFonts w:eastAsia="Times New Roman"/>
          <w:lang w:val="en-US" w:eastAsia="en-IE"/>
        </w:rPr>
        <w:t xml:space="preserve"> (</w:t>
      </w:r>
      <w:r w:rsidR="3A6F091E" w:rsidRPr="22B97D05">
        <w:rPr>
          <w:rFonts w:eastAsia="Times New Roman"/>
          <w:lang w:val="en-US" w:eastAsia="en-IE"/>
        </w:rPr>
        <w:t>g</w:t>
      </w:r>
      <w:r w:rsidR="6BCC7690" w:rsidRPr="22B97D05">
        <w:rPr>
          <w:rFonts w:eastAsia="Times New Roman"/>
          <w:lang w:val="en-US" w:eastAsia="en-IE"/>
        </w:rPr>
        <w:t>reater than 10 full-time employees)</w:t>
      </w:r>
      <w:r w:rsidRPr="22B97D05">
        <w:rPr>
          <w:rFonts w:eastAsia="Times New Roman"/>
          <w:lang w:eastAsia="en-IE"/>
        </w:rPr>
        <w:t> (not HPSU companies)</w:t>
      </w:r>
    </w:p>
    <w:p w14:paraId="042837CE" w14:textId="005A226F" w:rsidR="00057E4F" w:rsidRPr="001B50CF" w:rsidRDefault="00057E4F" w:rsidP="00057E4F">
      <w:pPr>
        <w:pStyle w:val="ListParagraph"/>
        <w:numPr>
          <w:ilvl w:val="0"/>
          <w:numId w:val="11"/>
        </w:numPr>
        <w:spacing w:before="0" w:after="0"/>
        <w:textAlignment w:val="baseline"/>
        <w:rPr>
          <w:rFonts w:eastAsia="Times New Roman"/>
          <w:lang w:eastAsia="en-IE"/>
        </w:rPr>
      </w:pPr>
      <w:r w:rsidRPr="1930A8B7">
        <w:rPr>
          <w:rFonts w:eastAsia="Times New Roman"/>
          <w:lang w:eastAsia="en-IE"/>
        </w:rPr>
        <w:t xml:space="preserve">Large companies are eligible for strategic consultancy assistance </w:t>
      </w:r>
      <w:r w:rsidR="001B50CF" w:rsidRPr="1930A8B7">
        <w:rPr>
          <w:rFonts w:eastAsia="Times New Roman"/>
          <w:lang w:eastAsia="en-IE"/>
        </w:rPr>
        <w:t>for</w:t>
      </w:r>
      <w:r w:rsidRPr="1930A8B7">
        <w:rPr>
          <w:rFonts w:eastAsia="Times New Roman"/>
          <w:lang w:eastAsia="en-IE"/>
        </w:rPr>
        <w:t xml:space="preserve"> </w:t>
      </w:r>
      <w:r w:rsidR="001B50CF" w:rsidRPr="1930A8B7">
        <w:rPr>
          <w:rFonts w:eastAsia="Times New Roman"/>
          <w:lang w:eastAsia="en-IE"/>
        </w:rPr>
        <w:t>environmental studies or consultancy services directly li</w:t>
      </w:r>
      <w:r w:rsidR="7ABDC5AB" w:rsidRPr="1930A8B7">
        <w:rPr>
          <w:rFonts w:eastAsia="Times New Roman"/>
          <w:lang w:eastAsia="en-IE"/>
        </w:rPr>
        <w:t>n</w:t>
      </w:r>
      <w:r w:rsidR="001B50CF" w:rsidRPr="1930A8B7">
        <w:rPr>
          <w:rFonts w:eastAsia="Times New Roman"/>
          <w:lang w:eastAsia="en-IE"/>
        </w:rPr>
        <w:t>ked to investments.</w:t>
      </w:r>
    </w:p>
    <w:p w14:paraId="15F181A0"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 xml:space="preserve">For projects that do not fit the above criteria and where the DA feels there is a strong case to merit </w:t>
      </w:r>
      <w:r>
        <w:rPr>
          <w:rFonts w:ascii="Calibri" w:eastAsia="Times New Roman" w:hAnsi="Calibri" w:cs="Calibri"/>
          <w:lang w:eastAsia="en-IE"/>
        </w:rPr>
        <w:t>assistance</w:t>
      </w:r>
      <w:r w:rsidRPr="000B1D69">
        <w:rPr>
          <w:rFonts w:ascii="Calibri" w:eastAsia="Times New Roman" w:hAnsi="Calibri" w:cs="Calibri"/>
          <w:lang w:eastAsia="en-IE"/>
        </w:rPr>
        <w:t>, a case may be presented to the Investment Committee for consideration.</w:t>
      </w:r>
      <w:r w:rsidRPr="000B1D69">
        <w:rPr>
          <w:rFonts w:ascii="Calibri" w:eastAsia="Times New Roman" w:hAnsi="Calibri" w:cs="Calibri"/>
          <w:lang w:val="en-IE" w:eastAsia="en-IE"/>
        </w:rPr>
        <w:t> </w:t>
      </w:r>
    </w:p>
    <w:p w14:paraId="319809BE" w14:textId="0B69ECA0" w:rsidR="00057E4F"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Please note that there may be additional eligibility criteria associated with particular expenditure categories. Details can be found in the Eligible Costs section below.</w:t>
      </w:r>
      <w:r w:rsidRPr="000B1D69">
        <w:rPr>
          <w:rFonts w:ascii="Calibri" w:eastAsia="Times New Roman" w:hAnsi="Calibri" w:cs="Calibri"/>
          <w:lang w:val="en-IE" w:eastAsia="en-IE"/>
        </w:rPr>
        <w:t> </w:t>
      </w:r>
    </w:p>
    <w:p w14:paraId="28935336" w14:textId="77777777" w:rsidR="001B50CF" w:rsidRPr="000B1D69" w:rsidRDefault="001B50CF" w:rsidP="00057E4F">
      <w:pPr>
        <w:spacing w:after="0"/>
        <w:textAlignment w:val="baseline"/>
        <w:rPr>
          <w:rFonts w:ascii="Calibri" w:eastAsia="Times New Roman" w:hAnsi="Calibri" w:cs="Calibri"/>
          <w:lang w:val="en-IE" w:eastAsia="en-IE"/>
        </w:rPr>
      </w:pPr>
    </w:p>
    <w:p w14:paraId="51FC1625" w14:textId="77777777" w:rsidR="00057E4F" w:rsidRPr="000B1D69" w:rsidRDefault="00057E4F" w:rsidP="00057E4F">
      <w:pPr>
        <w:pStyle w:val="Heading1"/>
        <w:rPr>
          <w:rFonts w:eastAsia="Times New Roman"/>
          <w:color w:val="auto"/>
          <w:lang w:val="en-IE" w:eastAsia="en-IE"/>
        </w:rPr>
      </w:pPr>
      <w:r w:rsidRPr="000B1D69">
        <w:rPr>
          <w:rFonts w:eastAsia="Times New Roman"/>
          <w:lang w:val="en-IE" w:eastAsia="en-IE"/>
        </w:rPr>
        <w:t>5. Application Process</w:t>
      </w:r>
    </w:p>
    <w:p w14:paraId="4EEA6BD2" w14:textId="45922B8A"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content, scope and size of the project should have been discussed and agreed with the DA</w:t>
      </w:r>
      <w:r w:rsidR="0029601B" w:rsidRPr="000B1D69">
        <w:rPr>
          <w:rFonts w:ascii="Calibri" w:eastAsia="Times New Roman" w:hAnsi="Calibri" w:cs="Calibri"/>
          <w:lang w:eastAsia="en-IE"/>
        </w:rPr>
        <w:t xml:space="preserve"> </w:t>
      </w:r>
      <w:r w:rsidRPr="000B1D69">
        <w:rPr>
          <w:rFonts w:ascii="Calibri" w:eastAsia="Times New Roman" w:hAnsi="Calibri" w:cs="Calibri"/>
          <w:lang w:eastAsia="en-IE"/>
        </w:rPr>
        <w:t>in advance of the company beginning the application process.</w:t>
      </w:r>
      <w:r w:rsidRPr="000B1D69">
        <w:rPr>
          <w:rFonts w:ascii="Calibri" w:eastAsia="Times New Roman" w:hAnsi="Calibri" w:cs="Calibri"/>
          <w:lang w:val="en-IE" w:eastAsia="en-IE"/>
        </w:rPr>
        <w:t> </w:t>
      </w:r>
    </w:p>
    <w:p w14:paraId="6D3BCFF0" w14:textId="6F60F108"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Strategic Consultancy applications are managed/administered using the Online Application System. Clients should complete the application form online and submit to Grant Applications &amp; Contracts.</w:t>
      </w:r>
      <w:r w:rsidRPr="000B1D69">
        <w:rPr>
          <w:rFonts w:ascii="Calibri" w:eastAsia="Times New Roman" w:hAnsi="Calibri" w:cs="Calibri"/>
          <w:lang w:val="en-IE" w:eastAsia="en-IE"/>
        </w:rPr>
        <w:t> </w:t>
      </w:r>
    </w:p>
    <w:p w14:paraId="2AA52320" w14:textId="1673C543"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 xml:space="preserve">The Start date of the project is the date of receipt to the application in Grant Applications &amp; Contracts.  Any costs incurred by the company prior to this date will be deemed </w:t>
      </w:r>
      <w:r w:rsidR="00460C9D" w:rsidRPr="000B1D69">
        <w:rPr>
          <w:rFonts w:ascii="Calibri" w:eastAsia="Times New Roman" w:hAnsi="Calibri" w:cs="Calibri"/>
          <w:lang w:eastAsia="en-IE"/>
        </w:rPr>
        <w:t>ineligible.</w:t>
      </w:r>
      <w:r w:rsidRPr="000B1D69">
        <w:rPr>
          <w:rFonts w:ascii="Calibri" w:eastAsia="Times New Roman" w:hAnsi="Calibri" w:cs="Calibri"/>
          <w:lang w:val="en-IE" w:eastAsia="en-IE"/>
        </w:rPr>
        <w:t> </w:t>
      </w:r>
    </w:p>
    <w:p w14:paraId="1C413CB2" w14:textId="77777777" w:rsidR="00057E4F" w:rsidRPr="000B1D69" w:rsidRDefault="00057E4F" w:rsidP="00057E4F">
      <w:pPr>
        <w:spacing w:after="0"/>
        <w:textAlignment w:val="baseline"/>
        <w:rPr>
          <w:rFonts w:ascii="Calibri" w:eastAsia="Times New Roman" w:hAnsi="Calibri" w:cs="Calibri"/>
          <w:lang w:val="en-IE" w:eastAsia="en-IE"/>
        </w:rPr>
      </w:pPr>
    </w:p>
    <w:p w14:paraId="0DC249BD" w14:textId="77777777" w:rsidR="00057E4F" w:rsidRPr="000B1D69" w:rsidRDefault="00057E4F" w:rsidP="00057E4F">
      <w:pPr>
        <w:pStyle w:val="Heading1"/>
        <w:rPr>
          <w:rFonts w:eastAsia="Times New Roman"/>
          <w:lang w:val="en-IE" w:eastAsia="en-IE"/>
        </w:rPr>
      </w:pPr>
      <w:r w:rsidRPr="000B1D69">
        <w:rPr>
          <w:rFonts w:eastAsia="Times New Roman"/>
          <w:lang w:eastAsia="en-IE"/>
        </w:rPr>
        <w:t>6. Funding Limits</w:t>
      </w:r>
      <w:r w:rsidRPr="000B1D69">
        <w:rPr>
          <w:rFonts w:eastAsia="Times New Roman"/>
          <w:lang w:val="en-IE" w:eastAsia="en-IE"/>
        </w:rPr>
        <w:t> </w:t>
      </w:r>
    </w:p>
    <w:p w14:paraId="75DFF865" w14:textId="42BB6ED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maximum Strategic Consultancy Grant allowable under the Exploring Opportunities Line Management offer is €35,000 (please note that each division may impose lower limits at their discretion).</w:t>
      </w:r>
      <w:r w:rsidRPr="000B1D69">
        <w:rPr>
          <w:rFonts w:ascii="Calibri" w:eastAsia="Times New Roman" w:hAnsi="Calibri" w:cs="Calibri"/>
          <w:lang w:val="en-IE" w:eastAsia="en-IE"/>
        </w:rPr>
        <w:t> </w:t>
      </w:r>
    </w:p>
    <w:p w14:paraId="0CCA7E88" w14:textId="15059DC3"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 xml:space="preserve">Funding will be by way of Grant. The maximum </w:t>
      </w:r>
      <w:r>
        <w:rPr>
          <w:rFonts w:ascii="Calibri" w:eastAsia="Times New Roman" w:hAnsi="Calibri" w:cs="Calibri"/>
          <w:lang w:eastAsia="en-IE"/>
        </w:rPr>
        <w:t xml:space="preserve">grant </w:t>
      </w:r>
      <w:r w:rsidRPr="000B1D69">
        <w:rPr>
          <w:rFonts w:ascii="Calibri" w:eastAsia="Times New Roman" w:hAnsi="Calibri" w:cs="Calibri"/>
          <w:lang w:eastAsia="en-IE"/>
        </w:rPr>
        <w:t>level will be 50% of eligible costs.</w:t>
      </w:r>
      <w:r w:rsidRPr="000B1D69">
        <w:rPr>
          <w:rFonts w:ascii="Calibri" w:eastAsia="Times New Roman" w:hAnsi="Calibri" w:cs="Calibri"/>
          <w:lang w:val="en-IE" w:eastAsia="en-IE"/>
        </w:rPr>
        <w:t> </w:t>
      </w:r>
    </w:p>
    <w:p w14:paraId="4F64D483"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Strategic Consultancy Grants approved by line management will count toward a company’s Exploring Opportunities Line Management Total.</w:t>
      </w:r>
      <w:r w:rsidRPr="000B1D69">
        <w:rPr>
          <w:rFonts w:ascii="Calibri" w:eastAsia="Times New Roman" w:hAnsi="Calibri" w:cs="Calibri"/>
          <w:lang w:val="en-IE" w:eastAsia="en-IE"/>
        </w:rPr>
        <w:t> </w:t>
      </w:r>
    </w:p>
    <w:p w14:paraId="6A398CC4" w14:textId="77777777" w:rsidR="00057E4F" w:rsidRPr="000B1D69" w:rsidRDefault="00057E4F" w:rsidP="00057E4F">
      <w:pPr>
        <w:spacing w:after="0"/>
        <w:textAlignment w:val="baseline"/>
        <w:rPr>
          <w:rFonts w:ascii="Calibri" w:eastAsia="Times New Roman" w:hAnsi="Calibri" w:cs="Calibri"/>
          <w:lang w:val="en-IE" w:eastAsia="en-IE"/>
        </w:rPr>
      </w:pPr>
    </w:p>
    <w:p w14:paraId="0C205930" w14:textId="77777777" w:rsidR="00057E4F" w:rsidRPr="000B1D69" w:rsidRDefault="00057E4F" w:rsidP="00057E4F">
      <w:pPr>
        <w:pStyle w:val="Heading1"/>
        <w:numPr>
          <w:ilvl w:val="0"/>
          <w:numId w:val="8"/>
        </w:numPr>
        <w:tabs>
          <w:tab w:val="num" w:pos="720"/>
        </w:tabs>
        <w:ind w:left="720"/>
        <w:rPr>
          <w:rFonts w:eastAsia="Times New Roman"/>
          <w:lang w:val="en-IE" w:eastAsia="en-IE"/>
        </w:rPr>
      </w:pPr>
      <w:r w:rsidRPr="000B1D69">
        <w:rPr>
          <w:rFonts w:eastAsia="Times New Roman"/>
          <w:lang w:eastAsia="en-IE"/>
        </w:rPr>
        <w:t>Eligible Activities</w:t>
      </w:r>
      <w:r w:rsidRPr="000B1D69">
        <w:rPr>
          <w:rFonts w:eastAsia="Times New Roman"/>
          <w:lang w:val="en-IE" w:eastAsia="en-IE"/>
        </w:rPr>
        <w:t> </w:t>
      </w:r>
    </w:p>
    <w:p w14:paraId="338D757B"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Strategic Consultants may be engaged;</w:t>
      </w:r>
      <w:r w:rsidRPr="000B1D69">
        <w:rPr>
          <w:rFonts w:ascii="Calibri" w:eastAsia="Times New Roman" w:hAnsi="Calibri" w:cs="Calibri"/>
          <w:lang w:val="en-IE" w:eastAsia="en-IE"/>
        </w:rPr>
        <w:t> </w:t>
      </w:r>
    </w:p>
    <w:p w14:paraId="54E0CFBE" w14:textId="77777777" w:rsidR="00057E4F" w:rsidRPr="000B1D69" w:rsidRDefault="00057E4F" w:rsidP="00057E4F">
      <w:pPr>
        <w:pStyle w:val="ListParagraph"/>
        <w:numPr>
          <w:ilvl w:val="0"/>
          <w:numId w:val="12"/>
        </w:numPr>
        <w:spacing w:before="0" w:after="0"/>
        <w:textAlignment w:val="baseline"/>
        <w:rPr>
          <w:rFonts w:eastAsia="Times New Roman"/>
          <w:lang w:eastAsia="en-IE"/>
        </w:rPr>
      </w:pPr>
      <w:r w:rsidRPr="000B1D69">
        <w:rPr>
          <w:rFonts w:eastAsia="Times New Roman"/>
          <w:lang w:val="en-US" w:eastAsia="en-IE"/>
        </w:rPr>
        <w:t>In the development and implementation of initiatives that are of strategic significance to the client</w:t>
      </w:r>
      <w:r w:rsidRPr="000B1D69">
        <w:rPr>
          <w:rFonts w:eastAsia="Times New Roman"/>
          <w:lang w:eastAsia="en-IE"/>
        </w:rPr>
        <w:t> </w:t>
      </w:r>
    </w:p>
    <w:p w14:paraId="4F8E809E" w14:textId="77777777" w:rsidR="00057E4F" w:rsidRPr="000B1D69" w:rsidRDefault="00057E4F" w:rsidP="00057E4F">
      <w:pPr>
        <w:pStyle w:val="ListParagraph"/>
        <w:numPr>
          <w:ilvl w:val="0"/>
          <w:numId w:val="12"/>
        </w:numPr>
        <w:spacing w:before="0" w:after="0"/>
        <w:textAlignment w:val="baseline"/>
        <w:rPr>
          <w:rFonts w:eastAsia="Times New Roman"/>
          <w:lang w:eastAsia="en-IE"/>
        </w:rPr>
      </w:pPr>
      <w:r w:rsidRPr="000B1D69">
        <w:rPr>
          <w:rFonts w:eastAsia="Times New Roman"/>
          <w:lang w:val="en-US" w:eastAsia="en-IE"/>
        </w:rPr>
        <w:lastRenderedPageBreak/>
        <w:t>To carry out or contribute to a specific strategic review of one or more of the elements of the client’s business model</w:t>
      </w:r>
      <w:r w:rsidRPr="000B1D69">
        <w:rPr>
          <w:rFonts w:eastAsia="Times New Roman"/>
          <w:lang w:eastAsia="en-IE"/>
        </w:rPr>
        <w:t> </w:t>
      </w:r>
    </w:p>
    <w:p w14:paraId="0F31DC0D" w14:textId="76FAE218" w:rsidR="00057E4F" w:rsidRPr="001B50CF" w:rsidRDefault="00057E4F" w:rsidP="00057E4F">
      <w:pPr>
        <w:pStyle w:val="ListParagraph"/>
        <w:numPr>
          <w:ilvl w:val="0"/>
          <w:numId w:val="12"/>
        </w:numPr>
        <w:spacing w:before="0" w:after="0"/>
        <w:textAlignment w:val="baseline"/>
        <w:rPr>
          <w:rFonts w:eastAsia="Times New Roman"/>
          <w:lang w:eastAsia="en-IE"/>
        </w:rPr>
      </w:pPr>
      <w:r w:rsidRPr="000B1D69">
        <w:rPr>
          <w:rFonts w:eastAsia="Times New Roman"/>
          <w:lang w:val="en-US" w:eastAsia="en-IE"/>
        </w:rPr>
        <w:t>To implement/play a role in the implementation of the strategic initiatives at corporate or functional level.</w:t>
      </w:r>
      <w:r w:rsidRPr="000B1D69">
        <w:rPr>
          <w:rFonts w:eastAsia="Times New Roman"/>
          <w:lang w:eastAsia="en-IE"/>
        </w:rPr>
        <w:t> </w:t>
      </w:r>
    </w:p>
    <w:p w14:paraId="06D392BA"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DA should be satisfied;</w:t>
      </w:r>
      <w:r w:rsidRPr="000B1D69">
        <w:rPr>
          <w:rFonts w:ascii="Calibri" w:eastAsia="Times New Roman" w:hAnsi="Calibri" w:cs="Calibri"/>
          <w:lang w:val="en-IE" w:eastAsia="en-IE"/>
        </w:rPr>
        <w:t> </w:t>
      </w:r>
    </w:p>
    <w:p w14:paraId="7DB09F4A" w14:textId="77777777" w:rsidR="00057E4F" w:rsidRPr="000B1D69" w:rsidRDefault="00057E4F" w:rsidP="00057E4F">
      <w:pPr>
        <w:numPr>
          <w:ilvl w:val="0"/>
          <w:numId w:val="13"/>
        </w:numPr>
        <w:spacing w:before="0" w:after="0"/>
        <w:textAlignment w:val="baseline"/>
        <w:rPr>
          <w:rFonts w:ascii="Calibri" w:eastAsia="Times New Roman" w:hAnsi="Calibri" w:cs="Calibri"/>
          <w:lang w:val="en-IE" w:eastAsia="en-IE"/>
        </w:rPr>
      </w:pPr>
      <w:r w:rsidRPr="000B1D69">
        <w:rPr>
          <w:rFonts w:ascii="Calibri" w:eastAsia="Times New Roman" w:hAnsi="Calibri" w:cs="Calibri"/>
          <w:lang w:eastAsia="en-IE"/>
        </w:rPr>
        <w:t>As to the quality and scope of the project</w:t>
      </w:r>
      <w:r w:rsidRPr="000B1D69">
        <w:rPr>
          <w:rFonts w:ascii="Calibri" w:eastAsia="Times New Roman" w:hAnsi="Calibri" w:cs="Calibri"/>
          <w:lang w:val="en-IE" w:eastAsia="en-IE"/>
        </w:rPr>
        <w:t> </w:t>
      </w:r>
    </w:p>
    <w:p w14:paraId="3DA62004" w14:textId="25E57EEB" w:rsidR="00057E4F" w:rsidRPr="001B50CF" w:rsidRDefault="00057E4F" w:rsidP="00057E4F">
      <w:pPr>
        <w:numPr>
          <w:ilvl w:val="0"/>
          <w:numId w:val="13"/>
        </w:numPr>
        <w:spacing w:before="0" w:after="0"/>
        <w:textAlignment w:val="baseline"/>
        <w:rPr>
          <w:rFonts w:ascii="Calibri" w:eastAsia="Times New Roman" w:hAnsi="Calibri" w:cs="Calibri"/>
          <w:lang w:val="en-IE" w:eastAsia="en-IE"/>
        </w:rPr>
      </w:pPr>
      <w:r w:rsidRPr="000B1D69">
        <w:rPr>
          <w:rFonts w:ascii="Calibri" w:eastAsia="Times New Roman" w:hAnsi="Calibri" w:cs="Calibri"/>
          <w:lang w:eastAsia="en-IE"/>
        </w:rPr>
        <w:t>That a consultant has been identified prior to the application being made and to the ability and experience of the proposed consultant</w:t>
      </w:r>
      <w:r w:rsidRPr="000B1D69">
        <w:rPr>
          <w:rFonts w:ascii="Calibri" w:eastAsia="Times New Roman" w:hAnsi="Calibri" w:cs="Calibri"/>
          <w:lang w:val="en-IE" w:eastAsia="en-IE"/>
        </w:rPr>
        <w:t> </w:t>
      </w:r>
    </w:p>
    <w:p w14:paraId="292712FF"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initiative is not intended to provide funding towards:</w:t>
      </w:r>
      <w:r w:rsidRPr="000B1D69">
        <w:rPr>
          <w:rFonts w:ascii="Calibri" w:eastAsia="Times New Roman" w:hAnsi="Calibri" w:cs="Calibri"/>
          <w:lang w:val="en-IE" w:eastAsia="en-IE"/>
        </w:rPr>
        <w:t> </w:t>
      </w:r>
    </w:p>
    <w:p w14:paraId="5B10766F" w14:textId="77777777" w:rsidR="00057E4F" w:rsidRPr="000B1D69" w:rsidRDefault="00057E4F" w:rsidP="00057E4F">
      <w:pPr>
        <w:pStyle w:val="ListParagraph"/>
        <w:numPr>
          <w:ilvl w:val="0"/>
          <w:numId w:val="14"/>
        </w:numPr>
        <w:spacing w:before="0" w:after="0"/>
        <w:textAlignment w:val="baseline"/>
        <w:rPr>
          <w:rFonts w:eastAsia="Times New Roman"/>
          <w:lang w:eastAsia="en-IE"/>
        </w:rPr>
      </w:pPr>
      <w:r w:rsidRPr="000B1D69">
        <w:rPr>
          <w:rFonts w:eastAsia="Times New Roman"/>
          <w:lang w:val="en-US" w:eastAsia="en-IE"/>
        </w:rPr>
        <w:t xml:space="preserve">Consultants engaged as an integral component of a training or R&amp;D project. (There are other specific </w:t>
      </w:r>
      <w:r>
        <w:rPr>
          <w:rFonts w:eastAsia="Times New Roman"/>
          <w:lang w:val="en-US" w:eastAsia="en-IE"/>
        </w:rPr>
        <w:t>programme</w:t>
      </w:r>
      <w:r w:rsidRPr="000B1D69">
        <w:rPr>
          <w:rFonts w:eastAsia="Times New Roman"/>
          <w:lang w:val="en-US" w:eastAsia="en-IE"/>
        </w:rPr>
        <w:t>s available in these instances)</w:t>
      </w:r>
      <w:r w:rsidRPr="000B1D69">
        <w:rPr>
          <w:rFonts w:eastAsia="Times New Roman"/>
          <w:lang w:eastAsia="en-IE"/>
        </w:rPr>
        <w:t> </w:t>
      </w:r>
    </w:p>
    <w:p w14:paraId="219C6A33" w14:textId="77777777" w:rsidR="00057E4F" w:rsidRPr="000B1D69" w:rsidRDefault="00057E4F" w:rsidP="00057E4F">
      <w:pPr>
        <w:pStyle w:val="ListParagraph"/>
        <w:numPr>
          <w:ilvl w:val="0"/>
          <w:numId w:val="14"/>
        </w:numPr>
        <w:spacing w:before="0" w:after="0"/>
        <w:textAlignment w:val="baseline"/>
        <w:rPr>
          <w:rFonts w:eastAsia="Times New Roman"/>
          <w:lang w:eastAsia="en-IE"/>
        </w:rPr>
      </w:pPr>
      <w:r w:rsidRPr="000B1D69">
        <w:rPr>
          <w:rFonts w:eastAsia="Times New Roman"/>
          <w:lang w:val="en-US" w:eastAsia="en-IE"/>
        </w:rPr>
        <w:t>The costs of consultants hired for continuous or routine consultancy activities such as legal, financial, market research and PR</w:t>
      </w:r>
      <w:r w:rsidRPr="000B1D69">
        <w:rPr>
          <w:rFonts w:eastAsia="Times New Roman"/>
          <w:lang w:eastAsia="en-IE"/>
        </w:rPr>
        <w:t> </w:t>
      </w:r>
    </w:p>
    <w:p w14:paraId="08A2F342" w14:textId="28EF7627" w:rsidR="00057E4F" w:rsidRPr="000B1D69" w:rsidRDefault="00057E4F" w:rsidP="00057E4F">
      <w:pPr>
        <w:pStyle w:val="ListParagraph"/>
        <w:numPr>
          <w:ilvl w:val="0"/>
          <w:numId w:val="14"/>
        </w:numPr>
        <w:spacing w:before="0" w:after="0"/>
        <w:textAlignment w:val="baseline"/>
        <w:rPr>
          <w:rFonts w:eastAsia="Times New Roman"/>
          <w:lang w:eastAsia="en-IE"/>
        </w:rPr>
      </w:pPr>
      <w:r w:rsidRPr="000B1D69">
        <w:rPr>
          <w:rFonts w:eastAsia="Times New Roman"/>
          <w:lang w:eastAsia="en-IE"/>
        </w:rPr>
        <w:t>Energy audits mandated under the European Energy Efficiency Directive</w:t>
      </w:r>
      <w:r w:rsidR="008415E8">
        <w:rPr>
          <w:rFonts w:eastAsia="Times New Roman"/>
          <w:lang w:eastAsia="en-IE"/>
        </w:rPr>
        <w:t xml:space="preserve"> </w:t>
      </w:r>
      <w:r w:rsidR="008415E8" w:rsidRPr="00CF02DF">
        <w:rPr>
          <w:rFonts w:ascii="Calibri" w:eastAsia="Times New Roman" w:hAnsi="Calibri" w:cs="Calibri"/>
          <w:color w:val="000000" w:themeColor="text1"/>
          <w:lang w:val="en-IE" w:eastAsia="en-IE"/>
        </w:rPr>
        <w:t>2012/27/EU</w:t>
      </w:r>
      <w:r w:rsidRPr="000B1D69">
        <w:rPr>
          <w:rFonts w:eastAsia="Times New Roman"/>
          <w:lang w:eastAsia="en-IE"/>
        </w:rPr>
        <w:t xml:space="preserve"> (SI 426 of 2014)</w:t>
      </w:r>
    </w:p>
    <w:p w14:paraId="2F14D9D0" w14:textId="74C9F394" w:rsidR="00057E4F" w:rsidRPr="001B50CF" w:rsidRDefault="00057E4F" w:rsidP="001B50CF">
      <w:pPr>
        <w:pStyle w:val="ListParagraph"/>
        <w:numPr>
          <w:ilvl w:val="0"/>
          <w:numId w:val="14"/>
        </w:numPr>
        <w:spacing w:before="0" w:after="0"/>
        <w:textAlignment w:val="baseline"/>
        <w:rPr>
          <w:rFonts w:eastAsia="Times New Roman"/>
          <w:lang w:eastAsia="en-IE"/>
        </w:rPr>
      </w:pPr>
      <w:r w:rsidRPr="000B1D69">
        <w:rPr>
          <w:rFonts w:eastAsia="Times New Roman"/>
          <w:lang w:val="en-US" w:eastAsia="en-IE"/>
        </w:rPr>
        <w:t>Subsidising a client's regular operating expenses.</w:t>
      </w:r>
    </w:p>
    <w:p w14:paraId="44344728" w14:textId="77777777" w:rsidR="001B50CF" w:rsidRPr="001B50CF" w:rsidRDefault="001B50CF" w:rsidP="001B50CF">
      <w:pPr>
        <w:pStyle w:val="ListParagraph"/>
        <w:spacing w:before="0" w:after="0"/>
        <w:ind w:left="360"/>
        <w:textAlignment w:val="baseline"/>
        <w:rPr>
          <w:rFonts w:eastAsia="Times New Roman"/>
          <w:lang w:eastAsia="en-IE"/>
        </w:rPr>
      </w:pPr>
    </w:p>
    <w:p w14:paraId="140697EC" w14:textId="77777777" w:rsidR="00057E4F" w:rsidRPr="000B1D69" w:rsidRDefault="00057E4F" w:rsidP="00057E4F">
      <w:pPr>
        <w:pStyle w:val="Heading1"/>
        <w:rPr>
          <w:rFonts w:eastAsia="Times New Roman"/>
          <w:lang w:val="en-IE" w:eastAsia="en-IE"/>
        </w:rPr>
      </w:pPr>
      <w:r w:rsidRPr="000B1D69">
        <w:rPr>
          <w:rFonts w:eastAsia="Times New Roman"/>
          <w:lang w:eastAsia="en-IE"/>
        </w:rPr>
        <w:t>8. Eligible Costs </w:t>
      </w:r>
      <w:r w:rsidRPr="000B1D69">
        <w:rPr>
          <w:rFonts w:eastAsia="Times New Roman"/>
          <w:lang w:val="en-IE" w:eastAsia="en-IE"/>
        </w:rPr>
        <w:t> </w:t>
      </w:r>
    </w:p>
    <w:p w14:paraId="5FB56E66" w14:textId="77777777" w:rsidR="00057E4F" w:rsidRPr="000B1D69" w:rsidRDefault="00057E4F" w:rsidP="00057E4F">
      <w:pPr>
        <w:spacing w:after="0"/>
        <w:textAlignment w:val="baseline"/>
        <w:rPr>
          <w:rFonts w:ascii="Calibri" w:eastAsia="Times New Roman" w:hAnsi="Calibri" w:cs="Calibri"/>
          <w:lang w:val="en-IE" w:eastAsia="en-IE"/>
        </w:rPr>
      </w:pPr>
      <w:r>
        <w:rPr>
          <w:rFonts w:ascii="Calibri" w:eastAsia="Times New Roman" w:hAnsi="Calibri" w:cs="Calibri"/>
          <w:lang w:eastAsia="en-IE"/>
        </w:rPr>
        <w:t>Assistance may</w:t>
      </w:r>
      <w:r w:rsidRPr="000B1D69">
        <w:rPr>
          <w:rFonts w:ascii="Calibri" w:eastAsia="Times New Roman" w:hAnsi="Calibri" w:cs="Calibri"/>
          <w:lang w:eastAsia="en-IE"/>
        </w:rPr>
        <w:t xml:space="preserve"> be approved against eligible Consultancy Costs associated with the Strategic Consultancy project.</w:t>
      </w:r>
      <w:r w:rsidRPr="000B1D69">
        <w:rPr>
          <w:rFonts w:ascii="Calibri" w:eastAsia="Times New Roman" w:hAnsi="Calibri" w:cs="Calibri"/>
          <w:lang w:val="en-IE" w:eastAsia="en-IE"/>
        </w:rPr>
        <w:t> </w:t>
      </w:r>
    </w:p>
    <w:p w14:paraId="4E5917EB" w14:textId="77777777" w:rsidR="00057E4F" w:rsidRPr="000B1D69" w:rsidRDefault="00057E4F" w:rsidP="00057E4F">
      <w:pPr>
        <w:spacing w:after="0"/>
        <w:textAlignment w:val="baseline"/>
        <w:rPr>
          <w:rFonts w:ascii="Calibri" w:eastAsia="Times New Roman" w:hAnsi="Calibri" w:cs="Calibri"/>
          <w:lang w:val="en-IE" w:eastAsia="en-IE"/>
        </w:rPr>
      </w:pPr>
    </w:p>
    <w:tbl>
      <w:tblPr>
        <w:tblW w:w="9773"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105"/>
        <w:gridCol w:w="3105"/>
        <w:gridCol w:w="3563"/>
      </w:tblGrid>
      <w:tr w:rsidR="00057E4F" w:rsidRPr="000B1D69" w14:paraId="210AD4DC" w14:textId="77777777">
        <w:tc>
          <w:tcPr>
            <w:tcW w:w="3105" w:type="dxa"/>
            <w:tcBorders>
              <w:top w:val="single" w:sz="6" w:space="0" w:color="auto"/>
              <w:left w:val="single" w:sz="6" w:space="0" w:color="auto"/>
              <w:bottom w:val="single" w:sz="6" w:space="0" w:color="auto"/>
              <w:right w:val="single" w:sz="6" w:space="0" w:color="auto"/>
            </w:tcBorders>
            <w:shd w:val="clear" w:color="auto" w:fill="auto"/>
            <w:hideMark/>
          </w:tcPr>
          <w:p w14:paraId="4AF77C8B"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b/>
                <w:bCs/>
                <w:lang w:eastAsia="en-IE"/>
              </w:rPr>
              <w:t>Cost Category</w:t>
            </w:r>
            <w:r w:rsidRPr="000B1D69">
              <w:rPr>
                <w:rFonts w:ascii="Calibri" w:eastAsia="Times New Roman" w:hAnsi="Calibri" w:cs="Calibri"/>
                <w:lang w:val="en-IE" w:eastAsia="en-IE"/>
              </w:rPr>
              <w:t> </w:t>
            </w:r>
          </w:p>
        </w:tc>
        <w:tc>
          <w:tcPr>
            <w:tcW w:w="3105" w:type="dxa"/>
            <w:tcBorders>
              <w:top w:val="single" w:sz="6" w:space="0" w:color="auto"/>
              <w:left w:val="nil"/>
              <w:bottom w:val="single" w:sz="6" w:space="0" w:color="auto"/>
              <w:right w:val="single" w:sz="6" w:space="0" w:color="auto"/>
            </w:tcBorders>
            <w:shd w:val="clear" w:color="auto" w:fill="auto"/>
            <w:hideMark/>
          </w:tcPr>
          <w:p w14:paraId="1371C919"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b/>
                <w:bCs/>
                <w:lang w:eastAsia="en-IE"/>
              </w:rPr>
              <w:t>Amount</w:t>
            </w:r>
            <w:r w:rsidRPr="000B1D69">
              <w:rPr>
                <w:rFonts w:ascii="Calibri" w:eastAsia="Times New Roman" w:hAnsi="Calibri" w:cs="Calibri"/>
                <w:lang w:val="en-IE" w:eastAsia="en-IE"/>
              </w:rPr>
              <w:t> </w:t>
            </w:r>
          </w:p>
        </w:tc>
        <w:tc>
          <w:tcPr>
            <w:tcW w:w="3563" w:type="dxa"/>
            <w:tcBorders>
              <w:top w:val="single" w:sz="6" w:space="0" w:color="auto"/>
              <w:left w:val="nil"/>
              <w:bottom w:val="single" w:sz="6" w:space="0" w:color="auto"/>
              <w:right w:val="single" w:sz="6" w:space="0" w:color="auto"/>
            </w:tcBorders>
            <w:shd w:val="clear" w:color="auto" w:fill="auto"/>
            <w:hideMark/>
          </w:tcPr>
          <w:p w14:paraId="0F3C8D71"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b/>
                <w:bCs/>
                <w:lang w:eastAsia="en-IE"/>
              </w:rPr>
              <w:t>Notes</w:t>
            </w:r>
            <w:r w:rsidRPr="000B1D69">
              <w:rPr>
                <w:rFonts w:ascii="Calibri" w:eastAsia="Times New Roman" w:hAnsi="Calibri" w:cs="Calibri"/>
                <w:lang w:val="en-IE" w:eastAsia="en-IE"/>
              </w:rPr>
              <w:t> </w:t>
            </w:r>
          </w:p>
        </w:tc>
      </w:tr>
      <w:tr w:rsidR="00057E4F" w:rsidRPr="000B1D69" w14:paraId="1C2D8660" w14:textId="77777777">
        <w:tc>
          <w:tcPr>
            <w:tcW w:w="3105" w:type="dxa"/>
            <w:tcBorders>
              <w:top w:val="nil"/>
              <w:left w:val="single" w:sz="6" w:space="0" w:color="auto"/>
              <w:bottom w:val="single" w:sz="6" w:space="0" w:color="auto"/>
              <w:right w:val="single" w:sz="6" w:space="0" w:color="auto"/>
            </w:tcBorders>
            <w:shd w:val="clear" w:color="auto" w:fill="auto"/>
            <w:hideMark/>
          </w:tcPr>
          <w:p w14:paraId="3794C73A"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eastAsia="en-IE"/>
              </w:rPr>
              <w:t>Consultancy</w:t>
            </w:r>
            <w:r w:rsidRPr="000B1D69">
              <w:rPr>
                <w:rFonts w:ascii="Calibri" w:eastAsia="Times New Roman" w:hAnsi="Calibri" w:cs="Calibri"/>
                <w:lang w:val="en-IE" w:eastAsia="en-IE"/>
              </w:rPr>
              <w:t> </w:t>
            </w:r>
          </w:p>
        </w:tc>
        <w:tc>
          <w:tcPr>
            <w:tcW w:w="3105" w:type="dxa"/>
            <w:tcBorders>
              <w:top w:val="nil"/>
              <w:left w:val="nil"/>
              <w:bottom w:val="single" w:sz="6" w:space="0" w:color="auto"/>
              <w:right w:val="single" w:sz="6" w:space="0" w:color="auto"/>
            </w:tcBorders>
            <w:shd w:val="clear" w:color="auto" w:fill="auto"/>
            <w:hideMark/>
          </w:tcPr>
          <w:p w14:paraId="61ABC499"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eastAsia="en-IE"/>
              </w:rPr>
              <w:t>€900 per day</w:t>
            </w:r>
            <w:r w:rsidRPr="000B1D69">
              <w:rPr>
                <w:rFonts w:ascii="Calibri" w:eastAsia="Times New Roman" w:hAnsi="Calibri" w:cs="Calibri"/>
                <w:lang w:val="en-IE" w:eastAsia="en-IE"/>
              </w:rPr>
              <w:t> </w:t>
            </w:r>
          </w:p>
        </w:tc>
        <w:tc>
          <w:tcPr>
            <w:tcW w:w="3563" w:type="dxa"/>
            <w:tcBorders>
              <w:top w:val="nil"/>
              <w:left w:val="nil"/>
              <w:bottom w:val="single" w:sz="6" w:space="0" w:color="auto"/>
              <w:right w:val="single" w:sz="6" w:space="0" w:color="auto"/>
            </w:tcBorders>
            <w:shd w:val="clear" w:color="auto" w:fill="auto"/>
            <w:hideMark/>
          </w:tcPr>
          <w:p w14:paraId="15A21B32"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eastAsia="en-IE"/>
              </w:rPr>
              <w:t xml:space="preserve">The cost of obtaining specialist external advice as an input to the project is eligible for </w:t>
            </w:r>
            <w:r>
              <w:rPr>
                <w:rFonts w:ascii="Calibri" w:eastAsia="Times New Roman" w:hAnsi="Calibri" w:cs="Calibri"/>
                <w:lang w:eastAsia="en-IE"/>
              </w:rPr>
              <w:t>assistance</w:t>
            </w:r>
            <w:r w:rsidRPr="000B1D69">
              <w:rPr>
                <w:rFonts w:ascii="Calibri" w:eastAsia="Times New Roman" w:hAnsi="Calibri" w:cs="Calibri"/>
                <w:lang w:eastAsia="en-IE"/>
              </w:rPr>
              <w:t>.</w:t>
            </w:r>
            <w:r w:rsidRPr="000B1D69">
              <w:rPr>
                <w:rFonts w:ascii="Calibri" w:eastAsia="Times New Roman" w:hAnsi="Calibri" w:cs="Calibri"/>
                <w:lang w:val="en-IE" w:eastAsia="en-IE"/>
              </w:rPr>
              <w:t> </w:t>
            </w:r>
          </w:p>
          <w:p w14:paraId="06F9F913"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val="en-IE" w:eastAsia="en-IE"/>
              </w:rPr>
              <w:t> </w:t>
            </w:r>
          </w:p>
          <w:p w14:paraId="3ED51250"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eastAsia="en-IE"/>
              </w:rPr>
              <w:t>Consultancy rate per day to be inclusive of travel and subsistence and all out-of-pocket expenses.</w:t>
            </w:r>
            <w:r w:rsidRPr="000B1D69">
              <w:rPr>
                <w:rFonts w:ascii="Calibri" w:eastAsia="Times New Roman" w:hAnsi="Calibri" w:cs="Calibri"/>
                <w:lang w:val="en-IE" w:eastAsia="en-IE"/>
              </w:rPr>
              <w:t> </w:t>
            </w:r>
          </w:p>
          <w:p w14:paraId="0F2C5AB0"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val="en-IE" w:eastAsia="en-IE"/>
              </w:rPr>
              <w:t> </w:t>
            </w:r>
          </w:p>
          <w:p w14:paraId="339FBA53"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eastAsia="en-IE"/>
              </w:rPr>
              <w:t>Where a consultancy firm has more than one consultant engaged, the aggregate number of days worked by all consultants engaged on the project is counted.</w:t>
            </w:r>
            <w:r w:rsidRPr="000B1D69">
              <w:rPr>
                <w:rFonts w:ascii="Calibri" w:eastAsia="Times New Roman" w:hAnsi="Calibri" w:cs="Calibri"/>
                <w:lang w:val="en-IE" w:eastAsia="en-IE"/>
              </w:rPr>
              <w:t> </w:t>
            </w:r>
          </w:p>
          <w:p w14:paraId="11BBD853" w14:textId="77777777" w:rsidR="00057E4F" w:rsidRPr="000B1D69" w:rsidRDefault="00057E4F">
            <w:pPr>
              <w:spacing w:after="0"/>
              <w:textAlignment w:val="baseline"/>
              <w:rPr>
                <w:rFonts w:ascii="Times New Roman" w:eastAsia="Times New Roman" w:hAnsi="Times New Roman" w:cs="Times New Roman"/>
                <w:lang w:val="en-IE" w:eastAsia="en-IE"/>
              </w:rPr>
            </w:pPr>
            <w:r w:rsidRPr="000B1D69">
              <w:rPr>
                <w:rFonts w:ascii="Calibri" w:eastAsia="Times New Roman" w:hAnsi="Calibri" w:cs="Calibri"/>
                <w:lang w:val="en-IE" w:eastAsia="en-IE"/>
              </w:rPr>
              <w:t> </w:t>
            </w:r>
          </w:p>
          <w:p w14:paraId="6E669748" w14:textId="77777777" w:rsidR="00057E4F" w:rsidRPr="000B1D69" w:rsidRDefault="00057E4F">
            <w:pPr>
              <w:spacing w:after="0"/>
              <w:textAlignment w:val="baseline"/>
              <w:rPr>
                <w:rFonts w:ascii="Calibri" w:eastAsia="Times New Roman" w:hAnsi="Calibri" w:cs="Calibri"/>
                <w:lang w:eastAsia="en-IE"/>
              </w:rPr>
            </w:pPr>
            <w:r w:rsidRPr="000B1D69">
              <w:rPr>
                <w:rFonts w:ascii="Calibri" w:eastAsia="Times New Roman" w:hAnsi="Calibri" w:cs="Calibri"/>
                <w:lang w:eastAsia="en-IE"/>
              </w:rPr>
              <w:t>Where there is more than one consultancy firm involved on the project, the rate applies to each firm separately.</w:t>
            </w:r>
          </w:p>
          <w:p w14:paraId="70C688A9" w14:textId="77777777" w:rsidR="00057E4F" w:rsidRPr="000B1D69" w:rsidRDefault="00057E4F">
            <w:pPr>
              <w:spacing w:after="0"/>
              <w:textAlignment w:val="baseline"/>
              <w:rPr>
                <w:rFonts w:ascii="Times New Roman" w:eastAsia="Times New Roman" w:hAnsi="Times New Roman" w:cs="Times New Roman"/>
                <w:lang w:eastAsia="en-IE"/>
              </w:rPr>
            </w:pPr>
          </w:p>
          <w:p w14:paraId="0B759DA1" w14:textId="77777777" w:rsidR="00057E4F" w:rsidRPr="000B1D69" w:rsidRDefault="00057E4F">
            <w:pPr>
              <w:pStyle w:val="NoSpacing"/>
              <w:rPr>
                <w:rFonts w:cstheme="minorHAnsi"/>
              </w:rPr>
            </w:pPr>
            <w:r w:rsidRPr="000B1D69">
              <w:rPr>
                <w:rFonts w:cstheme="minorHAnsi"/>
              </w:rPr>
              <w:lastRenderedPageBreak/>
              <w:t>Applicants should ensure they have thoroughly investigated the experience and expertise of a number of consultants prior to making an application to Enterprise Ireland.</w:t>
            </w:r>
          </w:p>
          <w:p w14:paraId="3A2CE20F" w14:textId="77777777" w:rsidR="00057E4F" w:rsidRPr="000B1D69" w:rsidRDefault="00057E4F">
            <w:pPr>
              <w:spacing w:after="0"/>
              <w:textAlignment w:val="baseline"/>
              <w:rPr>
                <w:rFonts w:ascii="Times New Roman" w:eastAsia="Times New Roman" w:hAnsi="Times New Roman" w:cs="Times New Roman"/>
                <w:lang w:val="en-IE" w:eastAsia="en-IE"/>
              </w:rPr>
            </w:pPr>
          </w:p>
          <w:p w14:paraId="66E9389B" w14:textId="77777777" w:rsidR="00057E4F" w:rsidRPr="000B1D69" w:rsidRDefault="00057E4F">
            <w:pPr>
              <w:spacing w:after="0"/>
              <w:textAlignment w:val="baseline"/>
              <w:rPr>
                <w:rFonts w:eastAsiaTheme="minorEastAsia"/>
                <w:lang w:val="en-IE"/>
              </w:rPr>
            </w:pPr>
            <w:r w:rsidRPr="000B1D69">
              <w:rPr>
                <w:rFonts w:eastAsiaTheme="minorEastAsia"/>
                <w:color w:val="000000" w:themeColor="text1"/>
                <w:lang w:val="en-IE"/>
              </w:rPr>
              <w:t>Where practicable, applicants should obtain three competitive quotations or tenders for Consultancy Fees, accept the tender that gives best value for money and furnish Enterprise Ireland on request, details of such quotations or tenders.</w:t>
            </w:r>
          </w:p>
        </w:tc>
      </w:tr>
    </w:tbl>
    <w:p w14:paraId="1988D237" w14:textId="77777777" w:rsidR="00057E4F" w:rsidRPr="000B1D69" w:rsidRDefault="00057E4F" w:rsidP="00057E4F">
      <w:pPr>
        <w:spacing w:after="0"/>
        <w:textAlignment w:val="baseline"/>
        <w:rPr>
          <w:lang w:val="en-IE" w:eastAsia="en-IE"/>
        </w:rPr>
      </w:pPr>
      <w:r w:rsidRPr="000B1D69">
        <w:rPr>
          <w:rFonts w:ascii="Calibri" w:eastAsia="Times New Roman" w:hAnsi="Calibri" w:cs="Calibri"/>
          <w:lang w:val="en-IE" w:eastAsia="en-IE"/>
        </w:rPr>
        <w:lastRenderedPageBreak/>
        <w:t> </w:t>
      </w:r>
    </w:p>
    <w:p w14:paraId="23E7555D"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val="en-IE" w:eastAsia="en-IE"/>
        </w:rPr>
        <w:t> </w:t>
      </w:r>
    </w:p>
    <w:p w14:paraId="7CC28C33" w14:textId="77777777" w:rsidR="00057E4F" w:rsidRPr="000B1D69" w:rsidRDefault="00057E4F" w:rsidP="00057E4F">
      <w:pPr>
        <w:pStyle w:val="Heading1"/>
        <w:rPr>
          <w:rFonts w:eastAsia="Times New Roman"/>
          <w:lang w:val="en-IE" w:eastAsia="en-IE"/>
        </w:rPr>
      </w:pPr>
      <w:r w:rsidRPr="000B1D69">
        <w:rPr>
          <w:rFonts w:eastAsia="Times New Roman"/>
          <w:lang w:eastAsia="en-IE"/>
        </w:rPr>
        <w:t>9. Proposal Generation</w:t>
      </w:r>
      <w:r w:rsidRPr="000B1D69">
        <w:rPr>
          <w:rFonts w:eastAsia="Times New Roman"/>
          <w:lang w:val="en-IE" w:eastAsia="en-IE"/>
        </w:rPr>
        <w:t> </w:t>
      </w:r>
    </w:p>
    <w:p w14:paraId="42205E67" w14:textId="29B49D7E" w:rsidR="00057E4F" w:rsidRPr="000B1D69" w:rsidRDefault="00057E4F" w:rsidP="001B50C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Strategic Consultancy Grant proposals are managed/administered using the Online Application System. On receipt of a valid application from the client, Grant Applications &amp; Contracts will generate a proposal form and send to the DA for completion.</w:t>
      </w:r>
      <w:r w:rsidRPr="000B1D69">
        <w:rPr>
          <w:rFonts w:ascii="Calibri" w:eastAsia="Times New Roman" w:hAnsi="Calibri" w:cs="Calibri"/>
          <w:lang w:val="en-IE" w:eastAsia="en-IE"/>
        </w:rPr>
        <w:t> </w:t>
      </w:r>
    </w:p>
    <w:p w14:paraId="19734F1E" w14:textId="4165FB90" w:rsidR="00057E4F" w:rsidRPr="000B1D69" w:rsidRDefault="00057E4F" w:rsidP="001B50C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DA should complete the proposal and submit for approval via OAP System.</w:t>
      </w:r>
      <w:r w:rsidRPr="000B1D69">
        <w:rPr>
          <w:rFonts w:ascii="Calibri" w:eastAsia="Times New Roman" w:hAnsi="Calibri" w:cs="Calibri"/>
          <w:lang w:val="en-IE" w:eastAsia="en-IE"/>
        </w:rPr>
        <w:t> </w:t>
      </w:r>
    </w:p>
    <w:p w14:paraId="0DB34DC1" w14:textId="45AB268F" w:rsidR="00057E4F" w:rsidRPr="000B1D69" w:rsidRDefault="00057E4F" w:rsidP="001B50C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For grant approvals in excess of €5,000 the P&amp;L and Balance Sheet from Annual audited accounts (less than 2 years old) and Management accounts (less than 6 months old) must be appended to the proposal. Management accounts are not required where the audited accounts are less than 6 months old.</w:t>
      </w:r>
      <w:r w:rsidRPr="000B1D69">
        <w:rPr>
          <w:rFonts w:ascii="Calibri" w:eastAsia="Times New Roman" w:hAnsi="Calibri" w:cs="Calibri"/>
          <w:lang w:val="en-IE" w:eastAsia="en-IE"/>
        </w:rPr>
        <w:t> </w:t>
      </w:r>
    </w:p>
    <w:p w14:paraId="32BAA148" w14:textId="77777777" w:rsidR="00057E4F" w:rsidRPr="000B1D69" w:rsidRDefault="00057E4F" w:rsidP="00057E4F">
      <w:pPr>
        <w:spacing w:after="0"/>
        <w:textAlignment w:val="baseline"/>
        <w:rPr>
          <w:rFonts w:ascii="Calibri" w:eastAsia="Times New Roman" w:hAnsi="Calibri" w:cs="Calibri"/>
          <w:lang w:val="en-IE" w:eastAsia="en-IE"/>
        </w:rPr>
      </w:pPr>
      <w:r w:rsidRPr="000B1D69">
        <w:rPr>
          <w:rFonts w:ascii="Calibri" w:eastAsia="Times New Roman" w:hAnsi="Calibri" w:cs="Calibri"/>
          <w:lang w:eastAsia="en-IE"/>
        </w:rPr>
        <w:t>The proposal will be suspended if the required financial information is missing.</w:t>
      </w:r>
      <w:r w:rsidRPr="000B1D69">
        <w:rPr>
          <w:rFonts w:ascii="Calibri" w:eastAsia="Times New Roman" w:hAnsi="Calibri" w:cs="Calibri"/>
          <w:lang w:val="en-IE" w:eastAsia="en-IE"/>
        </w:rPr>
        <w:t> </w:t>
      </w:r>
    </w:p>
    <w:p w14:paraId="3CCA1B87" w14:textId="77777777" w:rsidR="00057E4F" w:rsidRPr="000B1D69" w:rsidRDefault="00057E4F" w:rsidP="00057E4F">
      <w:pPr>
        <w:numPr>
          <w:ilvl w:val="0"/>
          <w:numId w:val="1"/>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If the company is currently availing of Audit exemption the abridged Balance Sheet (as submitted to the CRO) must be appended to the proposal.</w:t>
      </w:r>
      <w:r w:rsidRPr="000B1D69">
        <w:rPr>
          <w:rFonts w:ascii="Calibri" w:eastAsia="Times New Roman" w:hAnsi="Calibri" w:cs="Calibri"/>
          <w:lang w:val="en-IE" w:eastAsia="en-IE"/>
        </w:rPr>
        <w:t> </w:t>
      </w:r>
    </w:p>
    <w:p w14:paraId="308ED1C0" w14:textId="77777777" w:rsidR="00057E4F" w:rsidRPr="000B1D69" w:rsidRDefault="00057E4F" w:rsidP="00057E4F">
      <w:pPr>
        <w:numPr>
          <w:ilvl w:val="0"/>
          <w:numId w:val="2"/>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If the company has been trading for less than 2 years there is no requirement to append financial information to the proposal.</w:t>
      </w:r>
      <w:r w:rsidRPr="000B1D69">
        <w:rPr>
          <w:rFonts w:ascii="Calibri" w:eastAsia="Times New Roman" w:hAnsi="Calibri" w:cs="Calibri"/>
          <w:lang w:val="en-IE" w:eastAsia="en-IE"/>
        </w:rPr>
        <w:t> </w:t>
      </w:r>
    </w:p>
    <w:p w14:paraId="72118611" w14:textId="77777777" w:rsidR="00057E4F" w:rsidRPr="000B1D69" w:rsidRDefault="00057E4F" w:rsidP="00057E4F">
      <w:pPr>
        <w:numPr>
          <w:ilvl w:val="0"/>
          <w:numId w:val="2"/>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A copy of the Group structure should be appended to the proposal if applicable.</w:t>
      </w:r>
      <w:r w:rsidRPr="000B1D69">
        <w:rPr>
          <w:rFonts w:ascii="Calibri" w:eastAsia="Times New Roman" w:hAnsi="Calibri" w:cs="Calibri"/>
          <w:lang w:val="en-IE" w:eastAsia="en-IE"/>
        </w:rPr>
        <w:t> </w:t>
      </w:r>
    </w:p>
    <w:p w14:paraId="255139C8" w14:textId="77777777" w:rsidR="00057E4F" w:rsidRPr="000B1D69" w:rsidRDefault="00057E4F" w:rsidP="00057E4F">
      <w:pPr>
        <w:spacing w:after="0"/>
        <w:ind w:hanging="360"/>
        <w:textAlignment w:val="baseline"/>
        <w:rPr>
          <w:rFonts w:ascii="Calibri" w:eastAsia="Times New Roman" w:hAnsi="Calibri" w:cs="Calibri"/>
          <w:lang w:val="en-IE" w:eastAsia="en-IE"/>
        </w:rPr>
      </w:pPr>
      <w:r w:rsidRPr="000B1D69">
        <w:rPr>
          <w:rFonts w:ascii="Calibri" w:eastAsia="Times New Roman" w:hAnsi="Calibri" w:cs="Calibri"/>
          <w:lang w:val="en-IE" w:eastAsia="en-IE"/>
        </w:rPr>
        <w:t> </w:t>
      </w:r>
    </w:p>
    <w:p w14:paraId="018D3E02" w14:textId="77777777" w:rsidR="00057E4F" w:rsidRPr="000B1D69" w:rsidRDefault="00057E4F" w:rsidP="00057E4F">
      <w:pPr>
        <w:spacing w:after="0"/>
        <w:ind w:hanging="360"/>
        <w:textAlignment w:val="baseline"/>
        <w:rPr>
          <w:rFonts w:ascii="Calibri" w:eastAsia="Times New Roman" w:hAnsi="Calibri" w:cs="Calibri"/>
          <w:lang w:val="en-IE" w:eastAsia="en-IE"/>
        </w:rPr>
      </w:pPr>
      <w:r w:rsidRPr="000B1D69">
        <w:rPr>
          <w:rFonts w:ascii="Calibri" w:eastAsia="Times New Roman" w:hAnsi="Calibri" w:cs="Calibri"/>
          <w:lang w:val="en-IE" w:eastAsia="en-IE"/>
        </w:rPr>
        <w:t> </w:t>
      </w:r>
    </w:p>
    <w:p w14:paraId="229078B8" w14:textId="77777777" w:rsidR="00057E4F" w:rsidRPr="000B1D69" w:rsidRDefault="00057E4F" w:rsidP="00057E4F">
      <w:pPr>
        <w:pStyle w:val="Heading1"/>
        <w:rPr>
          <w:rFonts w:eastAsia="Times New Roman"/>
          <w:lang w:val="en-IE" w:eastAsia="en-IE"/>
        </w:rPr>
      </w:pPr>
      <w:r w:rsidRPr="000B1D69">
        <w:rPr>
          <w:rFonts w:eastAsia="Times New Roman"/>
          <w:lang w:eastAsia="en-IE"/>
        </w:rPr>
        <w:t>10. Claims Process &amp; Final Claim Dates</w:t>
      </w:r>
      <w:r w:rsidRPr="000B1D69">
        <w:rPr>
          <w:rFonts w:eastAsia="Times New Roman"/>
          <w:lang w:val="en-IE" w:eastAsia="en-IE"/>
        </w:rPr>
        <w:t> </w:t>
      </w:r>
    </w:p>
    <w:p w14:paraId="47ABE6E2" w14:textId="77777777" w:rsidR="00057E4F" w:rsidRPr="000B1D69" w:rsidRDefault="00057E4F" w:rsidP="00057E4F">
      <w:pPr>
        <w:numPr>
          <w:ilvl w:val="0"/>
          <w:numId w:val="3"/>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Companies must return their acceptance of the letter of offer within 60 days or the offer will lapse</w:t>
      </w:r>
    </w:p>
    <w:p w14:paraId="28C55245" w14:textId="77777777" w:rsidR="00057E4F" w:rsidRPr="000B1D69" w:rsidRDefault="00057E4F" w:rsidP="00057E4F">
      <w:pPr>
        <w:numPr>
          <w:ilvl w:val="0"/>
          <w:numId w:val="3"/>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A Company can make a maximum of 2 claims under Strategic Consultancy.  Details of the claims process can be found on the Corporate Site</w:t>
      </w:r>
      <w:r w:rsidRPr="000B1D69">
        <w:rPr>
          <w:rFonts w:ascii="Calibri" w:eastAsia="Times New Roman" w:hAnsi="Calibri" w:cs="Calibri"/>
          <w:lang w:val="en-IE" w:eastAsia="en-IE"/>
        </w:rPr>
        <w:t> </w:t>
      </w:r>
    </w:p>
    <w:p w14:paraId="34F1DAE9" w14:textId="77777777" w:rsidR="00057E4F" w:rsidRPr="000B1D69" w:rsidRDefault="00057E4F" w:rsidP="00057E4F">
      <w:pPr>
        <w:numPr>
          <w:ilvl w:val="0"/>
          <w:numId w:val="4"/>
        </w:numPr>
        <w:spacing w:before="0" w:after="0"/>
        <w:ind w:left="360"/>
        <w:textAlignment w:val="baseline"/>
        <w:rPr>
          <w:rFonts w:ascii="Calibri" w:eastAsia="Times New Roman" w:hAnsi="Calibri" w:cs="Calibri"/>
          <w:lang w:val="en-IE" w:eastAsia="en-IE"/>
        </w:rPr>
      </w:pPr>
      <w:r w:rsidRPr="000B1D69">
        <w:rPr>
          <w:rFonts w:ascii="Calibri" w:eastAsia="Times New Roman" w:hAnsi="Calibri" w:cs="Calibri"/>
          <w:lang w:eastAsia="en-IE"/>
        </w:rPr>
        <w:t xml:space="preserve">Details of the Final Claim Dates can be found on </w:t>
      </w:r>
      <w:hyperlink r:id="rId13" w:history="1">
        <w:r w:rsidRPr="000B1D69">
          <w:rPr>
            <w:rStyle w:val="Hyperlink"/>
            <w:rFonts w:ascii="Calibri" w:eastAsia="Times New Roman" w:hAnsi="Calibri" w:cs="Calibri"/>
            <w:lang w:eastAsia="en-IE"/>
          </w:rPr>
          <w:t>www.enterprise-ireland.com</w:t>
        </w:r>
      </w:hyperlink>
      <w:r w:rsidRPr="000B1D69">
        <w:rPr>
          <w:rFonts w:ascii="Calibri" w:eastAsia="Times New Roman" w:hAnsi="Calibri" w:cs="Calibri"/>
          <w:lang w:val="en-IE" w:eastAsia="en-IE"/>
        </w:rPr>
        <w:t> </w:t>
      </w:r>
    </w:p>
    <w:p w14:paraId="3D67FF2D" w14:textId="77777777" w:rsidR="00057E4F" w:rsidRPr="000B1D69" w:rsidRDefault="00057E4F" w:rsidP="00057E4F">
      <w:pPr>
        <w:numPr>
          <w:ilvl w:val="0"/>
          <w:numId w:val="4"/>
        </w:numPr>
        <w:spacing w:before="0" w:after="0"/>
        <w:ind w:left="360"/>
        <w:textAlignment w:val="baseline"/>
        <w:rPr>
          <w:rFonts w:ascii="Calibri" w:eastAsia="Times New Roman" w:hAnsi="Calibri" w:cs="Calibri"/>
          <w:lang w:val="en-IE" w:eastAsia="en-IE"/>
        </w:rPr>
      </w:pPr>
      <w:r w:rsidRPr="000B1D69">
        <w:rPr>
          <w:rFonts w:eastAsiaTheme="minorEastAsia"/>
          <w:color w:val="000000" w:themeColor="text1"/>
          <w:lang w:val="en-IE"/>
        </w:rPr>
        <w:lastRenderedPageBreak/>
        <w:t>Where practicable, applicants should obtain three competitive quotations or tenders for Consultancy Fees, accept the tender that gives best value for money and furnish Enterprise Ireland on request, details of such quotations or tenders</w:t>
      </w:r>
    </w:p>
    <w:p w14:paraId="59B535B7" w14:textId="77777777" w:rsidR="00057E4F" w:rsidRPr="000B1D69" w:rsidRDefault="00057E4F" w:rsidP="00057E4F">
      <w:pPr>
        <w:spacing w:after="0"/>
        <w:ind w:left="360"/>
        <w:textAlignment w:val="baseline"/>
        <w:rPr>
          <w:rFonts w:ascii="Calibri" w:eastAsia="Times New Roman" w:hAnsi="Calibri" w:cs="Calibri"/>
          <w:lang w:val="en-IE" w:eastAsia="en-IE"/>
        </w:rPr>
      </w:pPr>
    </w:p>
    <w:bookmarkEnd w:id="0"/>
    <w:p w14:paraId="4711EC46" w14:textId="5AD33E86" w:rsidR="00057E4F" w:rsidRPr="000B1D69" w:rsidRDefault="00057E4F" w:rsidP="00057E4F">
      <w:pPr>
        <w:rPr>
          <w:lang w:eastAsia="en-IE"/>
        </w:rPr>
      </w:pPr>
    </w:p>
    <w:sectPr w:rsidR="00057E4F" w:rsidRPr="000B1D69">
      <w:headerReference w:type="default" r:id="rId14"/>
      <w:footerReference w:type="default" r:id="rId15"/>
      <w:headerReference w:type="first" r:id="rId16"/>
      <w:footerReference w:type="first" r:id="rId17"/>
      <w:pgSz w:w="11900" w:h="16840"/>
      <w:pgMar w:top="1134" w:right="1134" w:bottom="1134" w:left="1134"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4294F" w14:textId="77777777" w:rsidR="00A85491" w:rsidRDefault="00A85491" w:rsidP="003D1156">
      <w:pPr>
        <w:spacing w:before="0" w:after="0"/>
      </w:pPr>
      <w:r>
        <w:separator/>
      </w:r>
    </w:p>
  </w:endnote>
  <w:endnote w:type="continuationSeparator" w:id="0">
    <w:p w14:paraId="7749F0A3" w14:textId="77777777" w:rsidR="00A85491" w:rsidRDefault="00A85491" w:rsidP="003D1156">
      <w:pPr>
        <w:spacing w:before="0" w:after="0"/>
      </w:pPr>
      <w:r>
        <w:continuationSeparator/>
      </w:r>
    </w:p>
  </w:endnote>
  <w:endnote w:type="continuationNotice" w:id="1">
    <w:p w14:paraId="529A20CA" w14:textId="77777777" w:rsidR="00A85491" w:rsidRDefault="00A85491">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4172F" w14:textId="6AFE649A" w:rsidR="00AE107E" w:rsidRPr="00F5315C" w:rsidRDefault="003D1156">
    <w:pPr>
      <w:tabs>
        <w:tab w:val="left" w:pos="-426"/>
        <w:tab w:val="left" w:pos="3969"/>
      </w:tabs>
      <w:ind w:right="-476"/>
      <w:rPr>
        <w:rFonts w:ascii="Arial" w:hAnsi="Arial" w:cs="Arial"/>
        <w:sz w:val="20"/>
        <w:szCs w:val="20"/>
      </w:rPr>
    </w:pPr>
    <w:r>
      <w:rPr>
        <w:rFonts w:ascii="Arial" w:hAnsi="Arial" w:cs="Arial"/>
        <w:sz w:val="20"/>
        <w:szCs w:val="20"/>
      </w:rPr>
      <w:tab/>
      <w:t xml:space="preserve">Page </w:t>
    </w:r>
    <w:r w:rsidRPr="00071A14">
      <w:rPr>
        <w:rFonts w:ascii="Arial" w:hAnsi="Arial" w:cs="Arial"/>
        <w:sz w:val="20"/>
        <w:szCs w:val="20"/>
      </w:rPr>
      <w:fldChar w:fldCharType="begin"/>
    </w:r>
    <w:r w:rsidRPr="00071A14">
      <w:rPr>
        <w:rFonts w:ascii="Arial" w:hAnsi="Arial" w:cs="Arial"/>
        <w:sz w:val="20"/>
        <w:szCs w:val="20"/>
      </w:rPr>
      <w:instrText xml:space="preserve"> PAGE   \* MERGEFORMAT </w:instrText>
    </w:r>
    <w:r w:rsidRPr="00071A14">
      <w:rPr>
        <w:rFonts w:ascii="Arial" w:hAnsi="Arial" w:cs="Arial"/>
        <w:sz w:val="20"/>
        <w:szCs w:val="20"/>
      </w:rPr>
      <w:fldChar w:fldCharType="separate"/>
    </w:r>
    <w:r>
      <w:rPr>
        <w:rFonts w:ascii="Arial" w:hAnsi="Arial" w:cs="Arial"/>
        <w:sz w:val="20"/>
        <w:szCs w:val="20"/>
      </w:rPr>
      <w:t>1</w:t>
    </w:r>
    <w:r w:rsidRPr="00071A14">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NUMPAGES   \* MERGEFORMAT </w:instrText>
    </w:r>
    <w:r>
      <w:rPr>
        <w:rFonts w:ascii="Arial" w:hAnsi="Arial" w:cs="Arial"/>
        <w:noProof/>
        <w:sz w:val="20"/>
        <w:szCs w:val="20"/>
      </w:rPr>
      <w:fldChar w:fldCharType="separate"/>
    </w:r>
    <w:r>
      <w:rPr>
        <w:rFonts w:ascii="Arial" w:hAnsi="Arial" w:cs="Arial"/>
        <w:noProof/>
        <w:sz w:val="20"/>
        <w:szCs w:val="20"/>
      </w:rPr>
      <w:t>2</w:t>
    </w:r>
    <w:r>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37C97" w14:textId="77777777" w:rsidR="00AE107E" w:rsidRPr="00F5315C" w:rsidRDefault="003D1156">
    <w:pPr>
      <w:tabs>
        <w:tab w:val="left" w:pos="-426"/>
        <w:tab w:val="left" w:pos="3969"/>
      </w:tabs>
      <w:ind w:right="-476"/>
      <w:rPr>
        <w:rFonts w:ascii="Arial" w:hAnsi="Arial" w:cs="Arial"/>
        <w:sz w:val="20"/>
        <w:szCs w:val="20"/>
      </w:rPr>
    </w:pPr>
    <w:r w:rsidRPr="00C63D0E">
      <w:rPr>
        <w:rFonts w:ascii="Arial" w:hAnsi="Arial" w:cs="Arial"/>
        <w:sz w:val="20"/>
        <w:szCs w:val="20"/>
      </w:rPr>
      <w:t>This document may contain information given in confidence, commercially sensitive and personal information.  It should not be released to a third party without the written consent of Enterprise Ireland.</w:t>
    </w:r>
    <w:r>
      <w:rPr>
        <w:rFonts w:ascii="Arial" w:hAnsi="Arial" w:cs="Arial"/>
        <w:sz w:val="20"/>
        <w:szCs w:val="20"/>
      </w:rPr>
      <w:tab/>
    </w:r>
    <w:r>
      <w:rPr>
        <w:rFonts w:ascii="Arial" w:hAnsi="Arial" w:cs="Arial"/>
        <w:sz w:val="20"/>
        <w:szCs w:val="20"/>
      </w:rPr>
      <w:tab/>
      <w:t xml:space="preserve">Page </w:t>
    </w:r>
    <w:r w:rsidRPr="00071A14">
      <w:rPr>
        <w:rFonts w:ascii="Arial" w:hAnsi="Arial" w:cs="Arial"/>
        <w:sz w:val="20"/>
        <w:szCs w:val="20"/>
      </w:rPr>
      <w:fldChar w:fldCharType="begin"/>
    </w:r>
    <w:r w:rsidRPr="00071A14">
      <w:rPr>
        <w:rFonts w:ascii="Arial" w:hAnsi="Arial" w:cs="Arial"/>
        <w:sz w:val="20"/>
        <w:szCs w:val="20"/>
      </w:rPr>
      <w:instrText xml:space="preserve"> PAGE   \* MERGEFORMAT </w:instrText>
    </w:r>
    <w:r w:rsidRPr="00071A14">
      <w:rPr>
        <w:rFonts w:ascii="Arial" w:hAnsi="Arial" w:cs="Arial"/>
        <w:sz w:val="20"/>
        <w:szCs w:val="20"/>
      </w:rPr>
      <w:fldChar w:fldCharType="separate"/>
    </w:r>
    <w:r>
      <w:rPr>
        <w:rFonts w:ascii="Arial" w:hAnsi="Arial" w:cs="Arial"/>
        <w:sz w:val="20"/>
        <w:szCs w:val="20"/>
      </w:rPr>
      <w:t>1</w:t>
    </w:r>
    <w:r w:rsidRPr="00071A14">
      <w:rPr>
        <w:rFonts w:ascii="Arial" w:hAnsi="Arial" w:cs="Arial"/>
        <w:noProof/>
        <w:sz w:val="20"/>
        <w:szCs w:val="20"/>
      </w:rPr>
      <w:fldChar w:fldCharType="end"/>
    </w:r>
    <w:r>
      <w:rPr>
        <w:rFonts w:ascii="Arial" w:hAnsi="Arial" w:cs="Arial"/>
        <w:noProof/>
        <w:sz w:val="20"/>
        <w:szCs w:val="20"/>
      </w:rPr>
      <w:t xml:space="preserve"> of </w:t>
    </w:r>
    <w:r>
      <w:rPr>
        <w:rFonts w:ascii="Arial" w:hAnsi="Arial" w:cs="Arial"/>
        <w:noProof/>
        <w:sz w:val="20"/>
        <w:szCs w:val="20"/>
      </w:rPr>
      <w:fldChar w:fldCharType="begin"/>
    </w:r>
    <w:r>
      <w:rPr>
        <w:rFonts w:ascii="Arial" w:hAnsi="Arial" w:cs="Arial"/>
        <w:noProof/>
        <w:sz w:val="20"/>
        <w:szCs w:val="20"/>
      </w:rPr>
      <w:instrText xml:space="preserve"> NUMPAGES   \* MERGEFORMAT </w:instrText>
    </w:r>
    <w:r>
      <w:rPr>
        <w:rFonts w:ascii="Arial" w:hAnsi="Arial" w:cs="Arial"/>
        <w:noProof/>
        <w:sz w:val="20"/>
        <w:szCs w:val="20"/>
      </w:rPr>
      <w:fldChar w:fldCharType="separate"/>
    </w:r>
    <w:r>
      <w:rPr>
        <w:rFonts w:ascii="Arial" w:hAnsi="Arial" w:cs="Arial"/>
        <w:noProof/>
        <w:sz w:val="20"/>
        <w:szCs w:val="20"/>
      </w:rPr>
      <w:t>2</w:t>
    </w:r>
    <w:r>
      <w:rPr>
        <w:rFonts w:ascii="Arial" w:hAnsi="Arial" w:cs="Arial"/>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E96856" w14:textId="77777777" w:rsidR="00A85491" w:rsidRDefault="00A85491" w:rsidP="003D1156">
      <w:pPr>
        <w:spacing w:before="0" w:after="0"/>
      </w:pPr>
      <w:r>
        <w:separator/>
      </w:r>
    </w:p>
  </w:footnote>
  <w:footnote w:type="continuationSeparator" w:id="0">
    <w:p w14:paraId="723B4515" w14:textId="77777777" w:rsidR="00A85491" w:rsidRDefault="00A85491" w:rsidP="003D1156">
      <w:pPr>
        <w:spacing w:before="0" w:after="0"/>
      </w:pPr>
      <w:r>
        <w:continuationSeparator/>
      </w:r>
    </w:p>
  </w:footnote>
  <w:footnote w:type="continuationNotice" w:id="1">
    <w:p w14:paraId="3FFFFDC9" w14:textId="77777777" w:rsidR="00A85491" w:rsidRDefault="00A85491">
      <w:pPr>
        <w:spacing w:before="0" w:after="0"/>
      </w:pPr>
    </w:p>
  </w:footnote>
  <w:footnote w:id="2">
    <w:p w14:paraId="15A204A9" w14:textId="77777777" w:rsidR="00057E4F" w:rsidRPr="000F5D07" w:rsidRDefault="00057E4F" w:rsidP="00057E4F">
      <w:pPr>
        <w:pStyle w:val="FootnoteText"/>
      </w:pPr>
      <w:r>
        <w:rPr>
          <w:rStyle w:val="FootnoteReference"/>
        </w:rPr>
        <w:footnoteRef/>
      </w:r>
      <w:r>
        <w:t xml:space="preserve"> </w:t>
      </w:r>
      <w:r w:rsidRPr="00114029">
        <w:t>Large companies are</w:t>
      </w:r>
      <w:r>
        <w:t xml:space="preserve"> not</w:t>
      </w:r>
      <w:r w:rsidRPr="00114029">
        <w:t xml:space="preserve"> eligible </w:t>
      </w:r>
      <w:r>
        <w:t>for other strategic assignments under Strategic Consultancy Grant (1.1.1).</w:t>
      </w:r>
    </w:p>
  </w:footnote>
  <w:footnote w:id="3">
    <w:p w14:paraId="27BF7731" w14:textId="2F50F5D9" w:rsidR="00E93A77" w:rsidRDefault="00E93A77">
      <w:pPr>
        <w:pStyle w:val="FootnoteText"/>
      </w:pPr>
      <w:r>
        <w:rPr>
          <w:rStyle w:val="FootnoteReference"/>
        </w:rPr>
        <w:footnoteRef/>
      </w:r>
      <w:r>
        <w:t xml:space="preserve"> The Carbon Reduction</w:t>
      </w:r>
      <w:r w:rsidR="0078482E">
        <w:t xml:space="preserve"> fund will </w:t>
      </w:r>
      <w:r w:rsidR="00405A0E" w:rsidRPr="00405A0E">
        <w:t>hereafter be referred to as the Enterprise Emissions Reduction Investment Fund</w:t>
      </w:r>
      <w:r w:rsidR="00405A0E">
        <w:t>.</w:t>
      </w:r>
    </w:p>
  </w:footnote>
  <w:footnote w:id="4">
    <w:p w14:paraId="6DA2542C" w14:textId="0A7169B8" w:rsidR="00405A0E" w:rsidRDefault="00405A0E">
      <w:pPr>
        <w:pStyle w:val="FootnoteText"/>
      </w:pPr>
      <w:r>
        <w:rPr>
          <w:rStyle w:val="FootnoteReference"/>
        </w:rPr>
        <w:footnoteRef/>
      </w:r>
      <w:r>
        <w:t xml:space="preserve"> The Climate Enterprise Action fund </w:t>
      </w:r>
      <w:r w:rsidR="003D6831" w:rsidRPr="003D6831">
        <w:t>will hereafter be referred to as the Climate Planning Fund for Business</w:t>
      </w:r>
      <w:r w:rsidR="003D6831">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C5BCC0" w14:textId="0F5EDAC1" w:rsidR="00FE50D9" w:rsidRDefault="00B132D1">
    <w:pPr>
      <w:pStyle w:val="Header"/>
    </w:pPr>
    <w:r>
      <w:rPr>
        <w:rFonts w:cstheme="minorHAnsi"/>
        <w:b/>
        <w:bCs/>
        <w:noProof/>
      </w:rPr>
      <w:tab/>
      <w:t xml:space="preserve">                                                                         </w:t>
    </w:r>
  </w:p>
  <w:p w14:paraId="6EC11E68" w14:textId="77777777" w:rsidR="00FE50D9" w:rsidRDefault="00FE5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6E4C6" w14:textId="77777777" w:rsidR="00AE107E" w:rsidRDefault="003D1156">
    <w:pPr>
      <w:pStyle w:val="Header"/>
    </w:pPr>
    <w:r w:rsidRPr="00E2332F">
      <w:rPr>
        <w:rFonts w:ascii="Arial" w:eastAsia="Times New Roman" w:hAnsi="Arial" w:cs="Arial"/>
        <w:noProof/>
        <w:sz w:val="20"/>
        <w:szCs w:val="20"/>
        <w:lang w:eastAsia="en-GB"/>
      </w:rPr>
      <w:drawing>
        <wp:anchor distT="0" distB="0" distL="114300" distR="114300" simplePos="0" relativeHeight="251658240" behindDoc="0" locked="0" layoutInCell="1" allowOverlap="1" wp14:anchorId="55E0CCFB" wp14:editId="2C24A72E">
          <wp:simplePos x="0" y="0"/>
          <wp:positionH relativeFrom="column">
            <wp:posOffset>35120</wp:posOffset>
          </wp:positionH>
          <wp:positionV relativeFrom="paragraph">
            <wp:posOffset>-49530</wp:posOffset>
          </wp:positionV>
          <wp:extent cx="1971675" cy="523875"/>
          <wp:effectExtent l="0" t="0" r="0" b="0"/>
          <wp:wrapSquare wrapText="bothSides"/>
          <wp:docPr id="3" name="Picture 3" descr="Enterprise-Ireland-Logo_CMYK"/>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7" descr="Enterprise-Ireland-Logo_CMYK"/>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1675" cy="523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C544B"/>
    <w:multiLevelType w:val="multilevel"/>
    <w:tmpl w:val="3752D6C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AE5538F"/>
    <w:multiLevelType w:val="multilevel"/>
    <w:tmpl w:val="D368E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BE765E9"/>
    <w:multiLevelType w:val="hybridMultilevel"/>
    <w:tmpl w:val="C3DC64BA"/>
    <w:lvl w:ilvl="0" w:tplc="8D6C0240">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32E36D60"/>
    <w:multiLevelType w:val="hybridMultilevel"/>
    <w:tmpl w:val="80AA7852"/>
    <w:lvl w:ilvl="0" w:tplc="1809000F">
      <w:start w:val="7"/>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33B012A8"/>
    <w:multiLevelType w:val="hybridMultilevel"/>
    <w:tmpl w:val="CED8D0A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5" w15:restartNumberingAfterBreak="0">
    <w:nsid w:val="38C465FB"/>
    <w:multiLevelType w:val="hybridMultilevel"/>
    <w:tmpl w:val="28BE5F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6" w15:restartNumberingAfterBreak="0">
    <w:nsid w:val="3B9915A2"/>
    <w:multiLevelType w:val="hybridMultilevel"/>
    <w:tmpl w:val="5524A71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7" w15:restartNumberingAfterBreak="0">
    <w:nsid w:val="3BC416D4"/>
    <w:multiLevelType w:val="hybridMultilevel"/>
    <w:tmpl w:val="DEF0514A"/>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40B3649F"/>
    <w:multiLevelType w:val="multilevel"/>
    <w:tmpl w:val="04D80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7E26247"/>
    <w:multiLevelType w:val="multilevel"/>
    <w:tmpl w:val="379CD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9B14D4"/>
    <w:multiLevelType w:val="multilevel"/>
    <w:tmpl w:val="5B1A4A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E74E79"/>
    <w:multiLevelType w:val="hybridMultilevel"/>
    <w:tmpl w:val="5B60CC04"/>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2" w15:restartNumberingAfterBreak="0">
    <w:nsid w:val="59781545"/>
    <w:multiLevelType w:val="hybridMultilevel"/>
    <w:tmpl w:val="3FD097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3" w15:restartNumberingAfterBreak="0">
    <w:nsid w:val="5D3A552D"/>
    <w:multiLevelType w:val="hybridMultilevel"/>
    <w:tmpl w:val="B0B49D9C"/>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4" w15:restartNumberingAfterBreak="0">
    <w:nsid w:val="643A61F5"/>
    <w:multiLevelType w:val="multilevel"/>
    <w:tmpl w:val="CBD6718E"/>
    <w:lvl w:ilvl="0">
      <w:start w:val="1"/>
      <w:numFmt w:val="decimal"/>
      <w:lvlText w:val="%1."/>
      <w:lvlJc w:val="left"/>
      <w:pPr>
        <w:ind w:left="720" w:hanging="360"/>
      </w:pPr>
      <w:rPr>
        <w:rFonts w:hint="default"/>
      </w:rPr>
    </w:lvl>
    <w:lvl w:ilvl="1">
      <w:start w:val="3"/>
      <w:numFmt w:val="decimal"/>
      <w:isLgl/>
      <w:lvlText w:val="%1.%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66FC2A9D"/>
    <w:multiLevelType w:val="hybridMultilevel"/>
    <w:tmpl w:val="A822BE8A"/>
    <w:lvl w:ilvl="0" w:tplc="1809000F">
      <w:start w:val="3"/>
      <w:numFmt w:val="decimal"/>
      <w:lvlText w:val="%1."/>
      <w:lvlJc w:val="left"/>
      <w:pPr>
        <w:ind w:left="360" w:hanging="360"/>
      </w:pPr>
      <w:rPr>
        <w:rFonts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6" w15:restartNumberingAfterBreak="0">
    <w:nsid w:val="68671756"/>
    <w:multiLevelType w:val="hybridMultilevel"/>
    <w:tmpl w:val="1AD84044"/>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69D8636D"/>
    <w:multiLevelType w:val="hybridMultilevel"/>
    <w:tmpl w:val="42C25C2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15:restartNumberingAfterBreak="0">
    <w:nsid w:val="7D46354B"/>
    <w:multiLevelType w:val="multilevel"/>
    <w:tmpl w:val="9ACC3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7221DD"/>
    <w:multiLevelType w:val="hybridMultilevel"/>
    <w:tmpl w:val="9A8674F6"/>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num w:numId="1" w16cid:durableId="490365618">
    <w:abstractNumId w:val="18"/>
  </w:num>
  <w:num w:numId="2" w16cid:durableId="1590625118">
    <w:abstractNumId w:val="10"/>
  </w:num>
  <w:num w:numId="3" w16cid:durableId="1207137140">
    <w:abstractNumId w:val="9"/>
  </w:num>
  <w:num w:numId="4" w16cid:durableId="273828725">
    <w:abstractNumId w:val="8"/>
  </w:num>
  <w:num w:numId="5" w16cid:durableId="1290012613">
    <w:abstractNumId w:val="12"/>
  </w:num>
  <w:num w:numId="6" w16cid:durableId="1121261466">
    <w:abstractNumId w:val="16"/>
  </w:num>
  <w:num w:numId="7" w16cid:durableId="1695686330">
    <w:abstractNumId w:val="15"/>
  </w:num>
  <w:num w:numId="8" w16cid:durableId="2022974454">
    <w:abstractNumId w:val="3"/>
  </w:num>
  <w:num w:numId="9" w16cid:durableId="2039506076">
    <w:abstractNumId w:val="6"/>
  </w:num>
  <w:num w:numId="10" w16cid:durableId="138111896">
    <w:abstractNumId w:val="11"/>
  </w:num>
  <w:num w:numId="11" w16cid:durableId="2142729294">
    <w:abstractNumId w:val="19"/>
  </w:num>
  <w:num w:numId="12" w16cid:durableId="1610047237">
    <w:abstractNumId w:val="17"/>
  </w:num>
  <w:num w:numId="13" w16cid:durableId="253057718">
    <w:abstractNumId w:val="5"/>
  </w:num>
  <w:num w:numId="14" w16cid:durableId="593125325">
    <w:abstractNumId w:val="4"/>
  </w:num>
  <w:num w:numId="15" w16cid:durableId="1715082423">
    <w:abstractNumId w:val="7"/>
  </w:num>
  <w:num w:numId="16" w16cid:durableId="1072309333">
    <w:abstractNumId w:val="13"/>
  </w:num>
  <w:num w:numId="17" w16cid:durableId="2034112644">
    <w:abstractNumId w:val="14"/>
  </w:num>
  <w:num w:numId="18" w16cid:durableId="506023603">
    <w:abstractNumId w:val="2"/>
  </w:num>
  <w:num w:numId="19" w16cid:durableId="244262804">
    <w:abstractNumId w:val="0"/>
  </w:num>
  <w:num w:numId="20" w16cid:durableId="11452003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1156"/>
    <w:rsid w:val="000139DC"/>
    <w:rsid w:val="00041E16"/>
    <w:rsid w:val="0005373F"/>
    <w:rsid w:val="00057E4F"/>
    <w:rsid w:val="0006261A"/>
    <w:rsid w:val="00064DDF"/>
    <w:rsid w:val="000B7C8D"/>
    <w:rsid w:val="000C7C58"/>
    <w:rsid w:val="000D33D0"/>
    <w:rsid w:val="000D5B9A"/>
    <w:rsid w:val="000E1665"/>
    <w:rsid w:val="000F4568"/>
    <w:rsid w:val="001467E1"/>
    <w:rsid w:val="00157C8E"/>
    <w:rsid w:val="00163C2C"/>
    <w:rsid w:val="00183DDD"/>
    <w:rsid w:val="00193590"/>
    <w:rsid w:val="001B2216"/>
    <w:rsid w:val="001B50CF"/>
    <w:rsid w:val="001E0EAB"/>
    <w:rsid w:val="00223A0D"/>
    <w:rsid w:val="002259A3"/>
    <w:rsid w:val="00262614"/>
    <w:rsid w:val="002749CF"/>
    <w:rsid w:val="0029601B"/>
    <w:rsid w:val="00296947"/>
    <w:rsid w:val="002B1031"/>
    <w:rsid w:val="002F314B"/>
    <w:rsid w:val="003237DF"/>
    <w:rsid w:val="00371931"/>
    <w:rsid w:val="00383BF4"/>
    <w:rsid w:val="00394A5C"/>
    <w:rsid w:val="003B248F"/>
    <w:rsid w:val="003B3757"/>
    <w:rsid w:val="003D1156"/>
    <w:rsid w:val="003D3CAF"/>
    <w:rsid w:val="003D6831"/>
    <w:rsid w:val="003F6021"/>
    <w:rsid w:val="00403374"/>
    <w:rsid w:val="00405A0E"/>
    <w:rsid w:val="004134E4"/>
    <w:rsid w:val="00451488"/>
    <w:rsid w:val="00457B5C"/>
    <w:rsid w:val="00460C9D"/>
    <w:rsid w:val="004632BA"/>
    <w:rsid w:val="00473781"/>
    <w:rsid w:val="004A1AD6"/>
    <w:rsid w:val="004B52AA"/>
    <w:rsid w:val="004D6E72"/>
    <w:rsid w:val="004D7C36"/>
    <w:rsid w:val="005076CB"/>
    <w:rsid w:val="00536B07"/>
    <w:rsid w:val="00542593"/>
    <w:rsid w:val="00552916"/>
    <w:rsid w:val="00597AC0"/>
    <w:rsid w:val="00632BE4"/>
    <w:rsid w:val="0069365D"/>
    <w:rsid w:val="00695703"/>
    <w:rsid w:val="006A030A"/>
    <w:rsid w:val="006D321B"/>
    <w:rsid w:val="00740AA6"/>
    <w:rsid w:val="00742437"/>
    <w:rsid w:val="00742979"/>
    <w:rsid w:val="00745970"/>
    <w:rsid w:val="0078482E"/>
    <w:rsid w:val="007C4691"/>
    <w:rsid w:val="007D6565"/>
    <w:rsid w:val="007F63FC"/>
    <w:rsid w:val="008415E8"/>
    <w:rsid w:val="0084472F"/>
    <w:rsid w:val="008525BF"/>
    <w:rsid w:val="008B4519"/>
    <w:rsid w:val="008D56A6"/>
    <w:rsid w:val="008E113D"/>
    <w:rsid w:val="00900DAF"/>
    <w:rsid w:val="0093648B"/>
    <w:rsid w:val="00940409"/>
    <w:rsid w:val="0094077B"/>
    <w:rsid w:val="00947185"/>
    <w:rsid w:val="0095725A"/>
    <w:rsid w:val="00971CCB"/>
    <w:rsid w:val="00975FA4"/>
    <w:rsid w:val="00983D86"/>
    <w:rsid w:val="00987F2F"/>
    <w:rsid w:val="009A60BE"/>
    <w:rsid w:val="009D758F"/>
    <w:rsid w:val="009E6AE4"/>
    <w:rsid w:val="00A14DF3"/>
    <w:rsid w:val="00A85491"/>
    <w:rsid w:val="00AA5784"/>
    <w:rsid w:val="00AE107E"/>
    <w:rsid w:val="00AE558E"/>
    <w:rsid w:val="00AE6138"/>
    <w:rsid w:val="00B00BA0"/>
    <w:rsid w:val="00B132D1"/>
    <w:rsid w:val="00B44DAC"/>
    <w:rsid w:val="00B716BE"/>
    <w:rsid w:val="00BA07E6"/>
    <w:rsid w:val="00BB5399"/>
    <w:rsid w:val="00BD4ACC"/>
    <w:rsid w:val="00BD55B7"/>
    <w:rsid w:val="00C34086"/>
    <w:rsid w:val="00C43324"/>
    <w:rsid w:val="00C867A3"/>
    <w:rsid w:val="00CA2DE8"/>
    <w:rsid w:val="00CB6841"/>
    <w:rsid w:val="00CF02DF"/>
    <w:rsid w:val="00CF4FBF"/>
    <w:rsid w:val="00D33AF5"/>
    <w:rsid w:val="00D47D9C"/>
    <w:rsid w:val="00D47DEE"/>
    <w:rsid w:val="00D747DB"/>
    <w:rsid w:val="00DF70C9"/>
    <w:rsid w:val="00E04C77"/>
    <w:rsid w:val="00E17DD3"/>
    <w:rsid w:val="00E238CB"/>
    <w:rsid w:val="00E3460F"/>
    <w:rsid w:val="00E3560F"/>
    <w:rsid w:val="00E54152"/>
    <w:rsid w:val="00E56044"/>
    <w:rsid w:val="00E62117"/>
    <w:rsid w:val="00E93A77"/>
    <w:rsid w:val="00EC392D"/>
    <w:rsid w:val="00F22C0D"/>
    <w:rsid w:val="00F25393"/>
    <w:rsid w:val="00F26C2D"/>
    <w:rsid w:val="00F453CB"/>
    <w:rsid w:val="00FB7515"/>
    <w:rsid w:val="00FE50D9"/>
    <w:rsid w:val="00FF6824"/>
    <w:rsid w:val="01366DFD"/>
    <w:rsid w:val="10FEF122"/>
    <w:rsid w:val="1930A8B7"/>
    <w:rsid w:val="1A8CD9E1"/>
    <w:rsid w:val="1BCD3DCA"/>
    <w:rsid w:val="1C1B4A07"/>
    <w:rsid w:val="20B7B112"/>
    <w:rsid w:val="22B97D05"/>
    <w:rsid w:val="246C00D7"/>
    <w:rsid w:val="2861D276"/>
    <w:rsid w:val="31C4E49D"/>
    <w:rsid w:val="3A6F091E"/>
    <w:rsid w:val="4004D9F9"/>
    <w:rsid w:val="416A08D5"/>
    <w:rsid w:val="4362CCC4"/>
    <w:rsid w:val="45112B96"/>
    <w:rsid w:val="4925F895"/>
    <w:rsid w:val="49585CD1"/>
    <w:rsid w:val="4C753EF8"/>
    <w:rsid w:val="4D8A1519"/>
    <w:rsid w:val="501F9DF6"/>
    <w:rsid w:val="50E5328A"/>
    <w:rsid w:val="51DD1218"/>
    <w:rsid w:val="52BFF340"/>
    <w:rsid w:val="583EDDD4"/>
    <w:rsid w:val="5A4B7246"/>
    <w:rsid w:val="5D3C0FD8"/>
    <w:rsid w:val="62EF8AA3"/>
    <w:rsid w:val="64D3AF77"/>
    <w:rsid w:val="6734902C"/>
    <w:rsid w:val="69183CE5"/>
    <w:rsid w:val="6BCC7690"/>
    <w:rsid w:val="7367760B"/>
    <w:rsid w:val="79D7F026"/>
    <w:rsid w:val="7ABDC5AB"/>
    <w:rsid w:val="7D2631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7DA6C"/>
  <w15:chartTrackingRefBased/>
  <w15:docId w15:val="{93BCFF7D-3105-4EFC-9DED-D87828561A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1156"/>
    <w:pPr>
      <w:spacing w:before="120" w:after="120" w:line="240" w:lineRule="auto"/>
    </w:pPr>
    <w:rPr>
      <w:sz w:val="24"/>
      <w:szCs w:val="24"/>
      <w:lang w:val="en-GB"/>
    </w:rPr>
  </w:style>
  <w:style w:type="paragraph" w:styleId="Heading1">
    <w:name w:val="heading 1"/>
    <w:basedOn w:val="Normal"/>
    <w:next w:val="Normal"/>
    <w:link w:val="Heading1Char"/>
    <w:uiPriority w:val="9"/>
    <w:qFormat/>
    <w:rsid w:val="003D115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D115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1156"/>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link w:val="Heading2"/>
    <w:uiPriority w:val="9"/>
    <w:rsid w:val="003D1156"/>
    <w:rPr>
      <w:rFonts w:asciiTheme="majorHAnsi" w:eastAsiaTheme="majorEastAsia" w:hAnsiTheme="majorHAnsi" w:cstheme="majorBidi"/>
      <w:color w:val="2F5496" w:themeColor="accent1" w:themeShade="BF"/>
      <w:sz w:val="26"/>
      <w:szCs w:val="26"/>
      <w:lang w:val="en-GB"/>
    </w:rPr>
  </w:style>
  <w:style w:type="paragraph" w:styleId="Header">
    <w:name w:val="header"/>
    <w:basedOn w:val="Normal"/>
    <w:link w:val="HeaderChar"/>
    <w:uiPriority w:val="99"/>
    <w:unhideWhenUsed/>
    <w:rsid w:val="003D1156"/>
    <w:pPr>
      <w:tabs>
        <w:tab w:val="center" w:pos="4513"/>
        <w:tab w:val="right" w:pos="9026"/>
      </w:tabs>
    </w:pPr>
  </w:style>
  <w:style w:type="character" w:customStyle="1" w:styleId="HeaderChar">
    <w:name w:val="Header Char"/>
    <w:basedOn w:val="DefaultParagraphFont"/>
    <w:link w:val="Header"/>
    <w:uiPriority w:val="99"/>
    <w:rsid w:val="003D1156"/>
    <w:rPr>
      <w:sz w:val="24"/>
      <w:szCs w:val="24"/>
      <w:lang w:val="en-GB"/>
    </w:rPr>
  </w:style>
  <w:style w:type="paragraph" w:styleId="FootnoteText">
    <w:name w:val="footnote text"/>
    <w:aliases w:val="Schriftart: 9 pt,Schriftart: 10 pt,Schriftart: 8 pt"/>
    <w:basedOn w:val="Normal"/>
    <w:link w:val="FootnoteTextChar"/>
    <w:uiPriority w:val="99"/>
    <w:unhideWhenUsed/>
    <w:rsid w:val="003D1156"/>
    <w:rPr>
      <w:lang w:val="en-IE"/>
    </w:rPr>
  </w:style>
  <w:style w:type="character" w:customStyle="1" w:styleId="FootnoteTextChar">
    <w:name w:val="Footnote Text Char"/>
    <w:aliases w:val="Schriftart: 9 pt Char,Schriftart: 10 pt Char,Schriftart: 8 pt Char"/>
    <w:basedOn w:val="DefaultParagraphFont"/>
    <w:link w:val="FootnoteText"/>
    <w:uiPriority w:val="99"/>
    <w:rsid w:val="003D1156"/>
    <w:rPr>
      <w:sz w:val="24"/>
      <w:szCs w:val="24"/>
      <w:lang w:val="en-IE"/>
    </w:rPr>
  </w:style>
  <w:style w:type="character" w:styleId="FootnoteReference">
    <w:name w:val="footnote reference"/>
    <w:basedOn w:val="DefaultParagraphFont"/>
    <w:uiPriority w:val="99"/>
    <w:unhideWhenUsed/>
    <w:rsid w:val="003D1156"/>
    <w:rPr>
      <w:vertAlign w:val="superscript"/>
    </w:rPr>
  </w:style>
  <w:style w:type="paragraph" w:styleId="ListParagraph">
    <w:name w:val="List Paragraph"/>
    <w:aliases w:val="Subtitle Cover Page,List Paragraph (numbered (a)),References,WB List Paragraph,Dot pt,F5 List Paragraph,List Paragraph1,No Spacing1,List Paragraph Char Char Char,Indicator Text,Numbered Para 1,List Paragraph12,Bullet Points,3,MAIN CONTENT"/>
    <w:basedOn w:val="Normal"/>
    <w:link w:val="ListParagraphChar"/>
    <w:uiPriority w:val="34"/>
    <w:qFormat/>
    <w:rsid w:val="003D1156"/>
    <w:pPr>
      <w:ind w:left="720"/>
    </w:pPr>
  </w:style>
  <w:style w:type="character" w:styleId="Hyperlink">
    <w:name w:val="Hyperlink"/>
    <w:basedOn w:val="DefaultParagraphFont"/>
    <w:uiPriority w:val="99"/>
    <w:unhideWhenUsed/>
    <w:rsid w:val="003D1156"/>
    <w:rPr>
      <w:color w:val="0563C1" w:themeColor="hyperlink"/>
      <w:u w:val="single"/>
    </w:rPr>
  </w:style>
  <w:style w:type="paragraph" w:styleId="NoSpacing">
    <w:name w:val="No Spacing"/>
    <w:uiPriority w:val="1"/>
    <w:qFormat/>
    <w:rsid w:val="003D1156"/>
    <w:pPr>
      <w:spacing w:after="0" w:line="240" w:lineRule="auto"/>
    </w:pPr>
    <w:rPr>
      <w:sz w:val="24"/>
      <w:szCs w:val="24"/>
      <w:lang w:val="en-GB"/>
    </w:rPr>
  </w:style>
  <w:style w:type="table" w:styleId="GridTable1Light-Accent1">
    <w:name w:val="Grid Table 1 Light Accent 1"/>
    <w:basedOn w:val="TableNormal"/>
    <w:uiPriority w:val="46"/>
    <w:rsid w:val="003D1156"/>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ListParagraphChar">
    <w:name w:val="List Paragraph Char"/>
    <w:aliases w:val="Subtitle Cover Page Char,List Paragraph (numbered (a)) Char,References Char,WB List Paragraph Char,Dot pt Char,F5 List Paragraph Char,List Paragraph1 Char,No Spacing1 Char,List Paragraph Char Char Char Char,Indicator Text Char,3 Char"/>
    <w:basedOn w:val="DefaultParagraphFont"/>
    <w:link w:val="ListParagraph"/>
    <w:uiPriority w:val="34"/>
    <w:qFormat/>
    <w:locked/>
    <w:rsid w:val="00057E4F"/>
    <w:rPr>
      <w:sz w:val="24"/>
      <w:szCs w:val="24"/>
      <w:lang w:val="en-GB"/>
    </w:rPr>
  </w:style>
  <w:style w:type="table" w:styleId="GridTable4-Accent5">
    <w:name w:val="Grid Table 4 Accent 5"/>
    <w:basedOn w:val="TableNormal"/>
    <w:uiPriority w:val="49"/>
    <w:rsid w:val="00057E4F"/>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Footer">
    <w:name w:val="footer"/>
    <w:basedOn w:val="Normal"/>
    <w:link w:val="FooterChar"/>
    <w:uiPriority w:val="99"/>
    <w:unhideWhenUsed/>
    <w:rsid w:val="00FE50D9"/>
    <w:pPr>
      <w:tabs>
        <w:tab w:val="center" w:pos="4513"/>
        <w:tab w:val="right" w:pos="9026"/>
      </w:tabs>
      <w:spacing w:before="0" w:after="0"/>
    </w:pPr>
  </w:style>
  <w:style w:type="character" w:customStyle="1" w:styleId="FooterChar">
    <w:name w:val="Footer Char"/>
    <w:basedOn w:val="DefaultParagraphFont"/>
    <w:link w:val="Footer"/>
    <w:uiPriority w:val="99"/>
    <w:rsid w:val="00FE50D9"/>
    <w:rPr>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43393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nterprise-ireland.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ur03.safelinks.protection.outlook.com/?url=https%3A%2F%2Fentirl.sharepoint.com%2Fsites%2FTheGuide%2FTerms%2520of%2520Reference%2FForms%2FAllItems.aspx&amp;data=05%7C01%7CKathleen.ORegan%40enterprise-ireland.com%7Ce8664999153d427f320908dbd6dda658%7Cbdd3e620ccf34ac6a8070501d2cb25c4%7C0%7C0%7C638340019702917596%7CUnknown%7CTWFpbGZsb3d8eyJWIjoiMC4wLjAwMDAiLCJQIjoiV2luMzIiLCJBTiI6Ik1haWwiLCJXVCI6Mn0%3D%7C3000%7C%7C%7C&amp;sdata=yt2ONcmmkrL531tkaqqL0eWSkxaMc3aljs6X%2BY6fips%3D&amp;reserved=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e8b71674-482e-44fe-b703-9432df8a76a3">
      <UserInfo>
        <DisplayName>Hanrahan, Eoghan</DisplayName>
        <AccountId>179</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9CFB2615C93F94BB672899AF0A492DC" ma:contentTypeVersion="6" ma:contentTypeDescription="Create a new document." ma:contentTypeScope="" ma:versionID="bb28081f52d8eed09ff8c0b36633dbb5">
  <xsd:schema xmlns:xsd="http://www.w3.org/2001/XMLSchema" xmlns:xs="http://www.w3.org/2001/XMLSchema" xmlns:p="http://schemas.microsoft.com/office/2006/metadata/properties" xmlns:ns2="1c3967ff-7c75-434b-b573-0d2ffd45fe67" xmlns:ns3="e8b71674-482e-44fe-b703-9432df8a76a3" targetNamespace="http://schemas.microsoft.com/office/2006/metadata/properties" ma:root="true" ma:fieldsID="792ffc8968a200077975e3f84127f7f4" ns2:_="" ns3:_="">
    <xsd:import namespace="1c3967ff-7c75-434b-b573-0d2ffd45fe67"/>
    <xsd:import namespace="e8b71674-482e-44fe-b703-9432df8a76a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3967ff-7c75-434b-b573-0d2ffd45fe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8b71674-482e-44fe-b703-9432df8a76a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0B11B0-54B2-4EF5-B935-0E6F022331E5}">
  <ds:schemaRefs>
    <ds:schemaRef ds:uri="http://schemas.microsoft.com/office/2006/metadata/properties"/>
    <ds:schemaRef ds:uri="http://schemas.microsoft.com/office/infopath/2007/PartnerControls"/>
    <ds:schemaRef ds:uri="e8b71674-482e-44fe-b703-9432df8a76a3"/>
  </ds:schemaRefs>
</ds:datastoreItem>
</file>

<file path=customXml/itemProps2.xml><?xml version="1.0" encoding="utf-8"?>
<ds:datastoreItem xmlns:ds="http://schemas.openxmlformats.org/officeDocument/2006/customXml" ds:itemID="{82B7FD1D-D99E-4029-AA1A-5C01234E48DE}">
  <ds:schemaRefs>
    <ds:schemaRef ds:uri="http://schemas.microsoft.com/sharepoint/v3/contenttype/forms"/>
  </ds:schemaRefs>
</ds:datastoreItem>
</file>

<file path=customXml/itemProps3.xml><?xml version="1.0" encoding="utf-8"?>
<ds:datastoreItem xmlns:ds="http://schemas.openxmlformats.org/officeDocument/2006/customXml" ds:itemID="{4D9E91A9-75FA-4C89-B1D3-BE855987E202}"/>
</file>

<file path=docProps/app.xml><?xml version="1.0" encoding="utf-8"?>
<Properties xmlns="http://schemas.openxmlformats.org/officeDocument/2006/extended-properties" xmlns:vt="http://schemas.openxmlformats.org/officeDocument/2006/docPropsVTypes">
  <Template>Normal</Template>
  <TotalTime>1</TotalTime>
  <Pages>8</Pages>
  <Words>2004</Words>
  <Characters>11429</Characters>
  <Application>Microsoft Office Word</Application>
  <DocSecurity>4</DocSecurity>
  <Lines>95</Lines>
  <Paragraphs>26</Paragraphs>
  <ScaleCrop>false</ScaleCrop>
  <Company>Enterprise Ireland</Company>
  <LinksUpToDate>false</LinksUpToDate>
  <CharactersWithSpaces>13407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Hernandez, Karen</dc:creator>
  <cp:keywords/>
  <dc:description/>
  <cp:lastModifiedBy>Geraldine Pierce</cp:lastModifiedBy>
  <cp:revision>2</cp:revision>
  <cp:lastPrinted>2023-05-05T16:46:00Z</cp:lastPrinted>
  <dcterms:created xsi:type="dcterms:W3CDTF">2024-09-05T15:09:00Z</dcterms:created>
  <dcterms:modified xsi:type="dcterms:W3CDTF">2024-09-05T15:09:00Z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3" name="_NewReviewCycle">
    <vt:lpwstr/>
  </property>
  <property fmtid="{D5CDD505-2E9C-101B-9397-08002B2CF9AE}" pid="7" name="ContentTypeId">
    <vt:lpwstr>0x01010019CFB2615C93F94BB672899AF0A492DC</vt:lpwstr>
  </property>
  <property fmtid="{D5CDD505-2E9C-101B-9397-08002B2CF9AE}" pid="8" name="MediaServiceImageTags">
    <vt:lpwstr/>
  </property>
  <property fmtid="{D5CDD505-2E9C-101B-9397-08002B2CF9AE}" pid="11" name="Order">
    <vt:r8>67400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