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C194" w14:textId="74A9214E" w:rsidR="005D2EF7" w:rsidRPr="00512B20" w:rsidRDefault="005D2EF7" w:rsidP="00A07315">
      <w:bookmarkStart w:id="0" w:name="_Hlk99883071"/>
    </w:p>
    <w:p w14:paraId="7A60C195" w14:textId="77777777" w:rsidR="005D2EF7" w:rsidRPr="00512B20" w:rsidRDefault="005D2EF7" w:rsidP="005D2EF7">
      <w:pPr>
        <w:jc w:val="center"/>
      </w:pPr>
    </w:p>
    <w:p w14:paraId="7A60C196" w14:textId="77777777" w:rsidR="005D2EF7" w:rsidRPr="00512B20" w:rsidRDefault="005D2EF7" w:rsidP="005D2EF7"/>
    <w:p w14:paraId="7A60C197" w14:textId="77777777" w:rsidR="005D2EF7" w:rsidRPr="00512B20" w:rsidRDefault="005D2EF7" w:rsidP="005D2EF7"/>
    <w:p w14:paraId="7A60C198" w14:textId="77777777" w:rsidR="005D2EF7" w:rsidRPr="00512B20" w:rsidRDefault="005D2EF7" w:rsidP="005D2EF7"/>
    <w:p w14:paraId="7A60C199" w14:textId="45EA2AB5" w:rsidR="005D2EF7" w:rsidRPr="00512B20" w:rsidRDefault="005D2EF7" w:rsidP="005D2EF7"/>
    <w:p w14:paraId="4375403D" w14:textId="0AC1B4AB" w:rsidR="00BC1EBF" w:rsidRPr="00512B20" w:rsidRDefault="00BC1EBF" w:rsidP="005D2EF7"/>
    <w:p w14:paraId="443CB799" w14:textId="6C461FBA" w:rsidR="00BC1EBF" w:rsidRPr="00512B20" w:rsidRDefault="00BC1EBF" w:rsidP="005D2EF7"/>
    <w:p w14:paraId="593C1369" w14:textId="77777777" w:rsidR="00BC1EBF" w:rsidRPr="00512B20" w:rsidRDefault="00BC1EBF" w:rsidP="005D2EF7"/>
    <w:p w14:paraId="63037ABB" w14:textId="5535EFF6" w:rsidR="00971CB9" w:rsidRPr="00971CB9" w:rsidRDefault="00971CB9" w:rsidP="00C31EA8">
      <w:pPr>
        <w:tabs>
          <w:tab w:val="left" w:pos="993"/>
        </w:tabs>
        <w:jc w:val="center"/>
        <w:rPr>
          <w:b/>
          <w:i/>
          <w:color w:val="2F5496" w:themeColor="accent1" w:themeShade="BF"/>
          <w:sz w:val="72"/>
          <w:szCs w:val="72"/>
          <w:lang w:val="en-US"/>
        </w:rPr>
      </w:pPr>
      <w:r w:rsidRPr="00971CB9">
        <w:rPr>
          <w:b/>
          <w:i/>
          <w:color w:val="2F5496" w:themeColor="accent1" w:themeShade="BF"/>
          <w:sz w:val="72"/>
          <w:szCs w:val="72"/>
          <w:lang w:val="en-US"/>
        </w:rPr>
        <w:t>Green Offer</w:t>
      </w:r>
    </w:p>
    <w:p w14:paraId="17883E70" w14:textId="1143A6AF" w:rsidR="00971CB9" w:rsidRPr="00971CB9" w:rsidRDefault="00971CB9" w:rsidP="00C31EA8">
      <w:pPr>
        <w:tabs>
          <w:tab w:val="left" w:pos="993"/>
        </w:tabs>
        <w:jc w:val="center"/>
        <w:rPr>
          <w:b/>
          <w:i/>
          <w:color w:val="2F5496" w:themeColor="accent1" w:themeShade="BF"/>
          <w:sz w:val="48"/>
          <w:szCs w:val="72"/>
          <w:lang w:val="en-US"/>
        </w:rPr>
      </w:pPr>
      <w:proofErr w:type="spellStart"/>
      <w:r w:rsidRPr="00971CB9">
        <w:rPr>
          <w:b/>
          <w:i/>
          <w:color w:val="2F5496" w:themeColor="accent1" w:themeShade="BF"/>
          <w:sz w:val="48"/>
          <w:szCs w:val="72"/>
          <w:lang w:val="en-US"/>
        </w:rPr>
        <w:t>Tairiscint</w:t>
      </w:r>
      <w:proofErr w:type="spellEnd"/>
      <w:r w:rsidRPr="00971CB9">
        <w:rPr>
          <w:b/>
          <w:i/>
          <w:color w:val="2F5496" w:themeColor="accent1" w:themeShade="BF"/>
          <w:sz w:val="48"/>
          <w:szCs w:val="72"/>
          <w:lang w:val="en-US"/>
        </w:rPr>
        <w:t xml:space="preserve"> </w:t>
      </w:r>
      <w:proofErr w:type="spellStart"/>
      <w:r w:rsidRPr="00971CB9">
        <w:rPr>
          <w:b/>
          <w:i/>
          <w:color w:val="2F5496" w:themeColor="accent1" w:themeShade="BF"/>
          <w:sz w:val="48"/>
          <w:szCs w:val="72"/>
          <w:lang w:val="en-US"/>
        </w:rPr>
        <w:t>Ghlas</w:t>
      </w:r>
      <w:proofErr w:type="spellEnd"/>
    </w:p>
    <w:p w14:paraId="60D014BE" w14:textId="77777777" w:rsidR="00971CB9" w:rsidRPr="00971CB9" w:rsidRDefault="00971CB9" w:rsidP="00971CB9">
      <w:pPr>
        <w:tabs>
          <w:tab w:val="left" w:pos="993"/>
        </w:tabs>
        <w:rPr>
          <w:b/>
          <w:i/>
          <w:color w:val="2F5496" w:themeColor="accent1" w:themeShade="BF"/>
          <w:sz w:val="52"/>
          <w:szCs w:val="52"/>
          <w:lang w:val="en-US"/>
        </w:rPr>
      </w:pPr>
      <w:r w:rsidRPr="00971CB9">
        <w:rPr>
          <w:b/>
          <w:i/>
          <w:color w:val="2F5496" w:themeColor="accent1" w:themeShade="BF"/>
          <w:sz w:val="28"/>
          <w:szCs w:val="28"/>
          <w:lang w:val="en-US"/>
        </w:rPr>
        <w:tab/>
      </w:r>
    </w:p>
    <w:p w14:paraId="29B8B6DC" w14:textId="77777777" w:rsidR="00971CB9" w:rsidRPr="00971CB9" w:rsidRDefault="00971CB9" w:rsidP="00971CB9">
      <w:pPr>
        <w:jc w:val="center"/>
        <w:rPr>
          <w:b/>
          <w:sz w:val="48"/>
          <w:lang w:val="en-US"/>
        </w:rPr>
      </w:pPr>
    </w:p>
    <w:p w14:paraId="2E4BD6BC" w14:textId="77777777" w:rsidR="00971CB9" w:rsidRPr="00971CB9" w:rsidRDefault="00971CB9" w:rsidP="00971CB9">
      <w:pPr>
        <w:rPr>
          <w:sz w:val="40"/>
          <w:lang w:val="en-US"/>
        </w:rPr>
      </w:pPr>
    </w:p>
    <w:p w14:paraId="2E79C8B5" w14:textId="77777777" w:rsidR="00971CB9" w:rsidRPr="00971CB9" w:rsidRDefault="00971CB9" w:rsidP="00971CB9">
      <w:pPr>
        <w:jc w:val="center"/>
        <w:rPr>
          <w:sz w:val="40"/>
          <w:lang w:val="en-US"/>
        </w:rPr>
      </w:pPr>
      <w:r w:rsidRPr="00971CB9">
        <w:rPr>
          <w:i/>
          <w:sz w:val="40"/>
          <w:lang w:val="en-US"/>
        </w:rPr>
        <w:t>Cáipéis Tagartha</w:t>
      </w:r>
      <w:r w:rsidRPr="00971CB9">
        <w:rPr>
          <w:sz w:val="40"/>
          <w:lang w:val="en-US"/>
        </w:rPr>
        <w:t xml:space="preserve"> – Reference Document</w:t>
      </w:r>
    </w:p>
    <w:p w14:paraId="11159C80" w14:textId="59DDCB14" w:rsidR="00971CB9" w:rsidRDefault="00971CB9" w:rsidP="00971CB9">
      <w:pPr>
        <w:jc w:val="center"/>
        <w:rPr>
          <w:lang w:val="en-US"/>
        </w:rPr>
      </w:pPr>
      <w:r w:rsidRPr="00971CB9">
        <w:rPr>
          <w:lang w:val="en-US"/>
        </w:rPr>
        <w:t xml:space="preserve">Revision </w:t>
      </w:r>
      <w:r w:rsidR="00560F2A">
        <w:rPr>
          <w:lang w:val="en-US"/>
        </w:rPr>
        <w:t>4</w:t>
      </w:r>
      <w:r w:rsidR="007472AF">
        <w:rPr>
          <w:lang w:val="en-US"/>
        </w:rPr>
        <w:t>-</w:t>
      </w:r>
      <w:r w:rsidR="00A454ED">
        <w:rPr>
          <w:lang w:val="en-US"/>
        </w:rPr>
        <w:t>1</w:t>
      </w:r>
      <w:r w:rsidR="00560F2A">
        <w:rPr>
          <w:lang w:val="en-US"/>
        </w:rPr>
        <w:t>1</w:t>
      </w:r>
      <w:r w:rsidR="007472AF">
        <w:rPr>
          <w:lang w:val="en-US"/>
        </w:rPr>
        <w:t>-2024</w:t>
      </w:r>
    </w:p>
    <w:p w14:paraId="1A5F481A" w14:textId="77777777" w:rsidR="005875DB" w:rsidRDefault="005875DB" w:rsidP="00971CB9">
      <w:pPr>
        <w:jc w:val="center"/>
        <w:rPr>
          <w:lang w:val="en-US"/>
        </w:rPr>
      </w:pPr>
    </w:p>
    <w:p w14:paraId="2E3D12B3" w14:textId="77777777" w:rsidR="005875DB" w:rsidRDefault="005875DB" w:rsidP="00971CB9">
      <w:pPr>
        <w:jc w:val="center"/>
        <w:rPr>
          <w:lang w:val="en-US"/>
        </w:rPr>
      </w:pPr>
    </w:p>
    <w:p w14:paraId="296BED3A" w14:textId="77777777" w:rsidR="005875DB" w:rsidRDefault="005875DB" w:rsidP="00971CB9">
      <w:pPr>
        <w:jc w:val="center"/>
        <w:rPr>
          <w:lang w:val="en-US"/>
        </w:rPr>
      </w:pPr>
    </w:p>
    <w:p w14:paraId="26F0A476" w14:textId="77777777" w:rsidR="005875DB" w:rsidRDefault="005875DB" w:rsidP="00971CB9">
      <w:pPr>
        <w:jc w:val="center"/>
        <w:rPr>
          <w:lang w:val="en-US"/>
        </w:rPr>
      </w:pPr>
    </w:p>
    <w:p w14:paraId="145A6A1A" w14:textId="77777777" w:rsidR="005875DB" w:rsidRDefault="005875DB" w:rsidP="00971CB9">
      <w:pPr>
        <w:jc w:val="center"/>
        <w:rPr>
          <w:lang w:val="en-US"/>
        </w:rPr>
      </w:pPr>
    </w:p>
    <w:p w14:paraId="3AFD7F44" w14:textId="77777777" w:rsidR="005875DB" w:rsidRDefault="005875DB" w:rsidP="00971CB9">
      <w:pPr>
        <w:jc w:val="center"/>
        <w:rPr>
          <w:lang w:val="en-US"/>
        </w:rPr>
      </w:pPr>
    </w:p>
    <w:p w14:paraId="14AB977C" w14:textId="77777777" w:rsidR="005875DB" w:rsidRDefault="005875DB" w:rsidP="00971CB9">
      <w:pPr>
        <w:jc w:val="center"/>
        <w:rPr>
          <w:lang w:val="en-US"/>
        </w:rPr>
      </w:pPr>
    </w:p>
    <w:p w14:paraId="2D70D132" w14:textId="77777777" w:rsidR="005875DB" w:rsidRPr="00971CB9" w:rsidRDefault="005875DB" w:rsidP="00971CB9">
      <w:pPr>
        <w:jc w:val="center"/>
        <w:rPr>
          <w:lang w:val="en-US"/>
        </w:rPr>
      </w:pPr>
    </w:p>
    <w:tbl>
      <w:tblPr>
        <w:tblW w:w="94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1"/>
        <w:gridCol w:w="5640"/>
      </w:tblGrid>
      <w:tr w:rsidR="00ED3649" w:rsidRPr="00ED3649" w14:paraId="27CBC71A" w14:textId="77777777" w:rsidTr="00CF13C9">
        <w:trPr>
          <w:trHeight w:val="268"/>
        </w:trPr>
        <w:tc>
          <w:tcPr>
            <w:tcW w:w="3761" w:type="dxa"/>
            <w:shd w:val="clear" w:color="auto" w:fill="auto"/>
          </w:tcPr>
          <w:p w14:paraId="4EDBC047"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lastRenderedPageBreak/>
              <w:t>Title of Document</w:t>
            </w:r>
          </w:p>
          <w:p w14:paraId="5F6C4C2B"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p>
        </w:tc>
        <w:tc>
          <w:tcPr>
            <w:tcW w:w="5640" w:type="dxa"/>
            <w:shd w:val="clear" w:color="auto" w:fill="auto"/>
          </w:tcPr>
          <w:p w14:paraId="628BC9DB" w14:textId="0C6372E8"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ED3649">
              <w:rPr>
                <w:rFonts w:asciiTheme="majorHAnsi" w:eastAsiaTheme="majorEastAsia" w:hAnsiTheme="majorHAnsi" w:cstheme="majorBidi"/>
                <w:color w:val="2F5496" w:themeColor="accent1" w:themeShade="BF"/>
                <w:sz w:val="26"/>
                <w:szCs w:val="26"/>
                <w:lang w:val="en-US"/>
              </w:rPr>
              <w:t xml:space="preserve">Green </w:t>
            </w:r>
            <w:r w:rsidR="00492B3E">
              <w:rPr>
                <w:rFonts w:asciiTheme="majorHAnsi" w:eastAsiaTheme="majorEastAsia" w:hAnsiTheme="majorHAnsi" w:cstheme="majorBidi"/>
                <w:color w:val="2F5496" w:themeColor="accent1" w:themeShade="BF"/>
                <w:sz w:val="26"/>
                <w:szCs w:val="26"/>
                <w:lang w:val="en-US"/>
              </w:rPr>
              <w:t>Offer TOR V</w:t>
            </w:r>
            <w:r w:rsidR="00002705">
              <w:rPr>
                <w:rFonts w:asciiTheme="majorHAnsi" w:eastAsiaTheme="majorEastAsia" w:hAnsiTheme="majorHAnsi" w:cstheme="majorBidi"/>
                <w:color w:val="2F5496" w:themeColor="accent1" w:themeShade="BF"/>
                <w:sz w:val="26"/>
                <w:szCs w:val="26"/>
                <w:lang w:val="en-US"/>
              </w:rPr>
              <w:t>9</w:t>
            </w:r>
            <w:r w:rsidR="00492B3E">
              <w:rPr>
                <w:rFonts w:asciiTheme="majorHAnsi" w:eastAsiaTheme="majorEastAsia" w:hAnsiTheme="majorHAnsi" w:cstheme="majorBidi"/>
                <w:color w:val="2F5496" w:themeColor="accent1" w:themeShade="BF"/>
                <w:sz w:val="26"/>
                <w:szCs w:val="26"/>
                <w:lang w:val="en-US"/>
              </w:rPr>
              <w:t xml:space="preserve"> </w:t>
            </w:r>
            <w:r w:rsidR="00DE6B0E">
              <w:rPr>
                <w:rFonts w:asciiTheme="majorHAnsi" w:eastAsiaTheme="majorEastAsia" w:hAnsiTheme="majorHAnsi" w:cstheme="majorBidi"/>
                <w:color w:val="2F5496" w:themeColor="accent1" w:themeShade="BF"/>
                <w:sz w:val="26"/>
                <w:szCs w:val="26"/>
                <w:lang w:val="en-US"/>
              </w:rPr>
              <w:t>4</w:t>
            </w:r>
            <w:r w:rsidR="00492B3E">
              <w:rPr>
                <w:rFonts w:asciiTheme="majorHAnsi" w:eastAsiaTheme="majorEastAsia" w:hAnsiTheme="majorHAnsi" w:cstheme="majorBidi"/>
                <w:color w:val="2F5496" w:themeColor="accent1" w:themeShade="BF"/>
                <w:sz w:val="26"/>
                <w:szCs w:val="26"/>
                <w:lang w:val="en-US"/>
              </w:rPr>
              <w:t>-</w:t>
            </w:r>
            <w:r w:rsidR="00A454ED">
              <w:rPr>
                <w:rFonts w:asciiTheme="majorHAnsi" w:eastAsiaTheme="majorEastAsia" w:hAnsiTheme="majorHAnsi" w:cstheme="majorBidi"/>
                <w:color w:val="2F5496" w:themeColor="accent1" w:themeShade="BF"/>
                <w:sz w:val="26"/>
                <w:szCs w:val="26"/>
                <w:lang w:val="en-US"/>
              </w:rPr>
              <w:t>1</w:t>
            </w:r>
            <w:r w:rsidR="00DE6B0E">
              <w:rPr>
                <w:rFonts w:asciiTheme="majorHAnsi" w:eastAsiaTheme="majorEastAsia" w:hAnsiTheme="majorHAnsi" w:cstheme="majorBidi"/>
                <w:color w:val="2F5496" w:themeColor="accent1" w:themeShade="BF"/>
                <w:sz w:val="26"/>
                <w:szCs w:val="26"/>
                <w:lang w:val="en-US"/>
              </w:rPr>
              <w:t>1</w:t>
            </w:r>
            <w:r w:rsidR="00492B3E">
              <w:rPr>
                <w:rFonts w:asciiTheme="majorHAnsi" w:eastAsiaTheme="majorEastAsia" w:hAnsiTheme="majorHAnsi" w:cstheme="majorBidi"/>
                <w:color w:val="2F5496" w:themeColor="accent1" w:themeShade="BF"/>
                <w:sz w:val="26"/>
                <w:szCs w:val="26"/>
                <w:lang w:val="en-US"/>
              </w:rPr>
              <w:t>-2024</w:t>
            </w:r>
          </w:p>
        </w:tc>
      </w:tr>
      <w:tr w:rsidR="00ED3649" w:rsidRPr="00ED3649" w14:paraId="39B744C7" w14:textId="77777777" w:rsidTr="00CF13C9">
        <w:trPr>
          <w:trHeight w:val="268"/>
        </w:trPr>
        <w:tc>
          <w:tcPr>
            <w:tcW w:w="3761" w:type="dxa"/>
            <w:shd w:val="clear" w:color="auto" w:fill="auto"/>
          </w:tcPr>
          <w:p w14:paraId="4FA2038A"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Version No.</w:t>
            </w:r>
          </w:p>
        </w:tc>
        <w:tc>
          <w:tcPr>
            <w:tcW w:w="5640" w:type="dxa"/>
            <w:shd w:val="clear" w:color="auto" w:fill="auto"/>
          </w:tcPr>
          <w:p w14:paraId="0C0D4094" w14:textId="7C344CBB" w:rsidR="00ED3649" w:rsidRDefault="00002705"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9</w:t>
            </w:r>
          </w:p>
          <w:p w14:paraId="525C4B08" w14:textId="20EBAB09" w:rsidR="005156D1" w:rsidRPr="00ED3649" w:rsidRDefault="005156D1"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tc>
      </w:tr>
      <w:tr w:rsidR="00ED3649" w:rsidRPr="00ED3649" w14:paraId="5564C150" w14:textId="77777777" w:rsidTr="00CF13C9">
        <w:trPr>
          <w:trHeight w:val="268"/>
        </w:trPr>
        <w:tc>
          <w:tcPr>
            <w:tcW w:w="3761" w:type="dxa"/>
            <w:shd w:val="clear" w:color="auto" w:fill="auto"/>
          </w:tcPr>
          <w:p w14:paraId="46D65C16"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Name and Role of Document Owner</w:t>
            </w:r>
          </w:p>
        </w:tc>
        <w:tc>
          <w:tcPr>
            <w:tcW w:w="5640" w:type="dxa"/>
            <w:shd w:val="clear" w:color="auto" w:fill="auto"/>
          </w:tcPr>
          <w:p w14:paraId="2C1E5635" w14:textId="1924831E" w:rsidR="00A20329" w:rsidRDefault="009C6CE0"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Seni</w:t>
            </w:r>
            <w:r w:rsidR="00A20329">
              <w:rPr>
                <w:rFonts w:asciiTheme="majorHAnsi" w:eastAsiaTheme="majorEastAsia" w:hAnsiTheme="majorHAnsi" w:cstheme="majorBidi"/>
                <w:color w:val="2F5496" w:themeColor="accent1" w:themeShade="BF"/>
                <w:sz w:val="26"/>
                <w:szCs w:val="26"/>
                <w:lang w:val="en-US"/>
              </w:rPr>
              <w:t>or Executive</w:t>
            </w:r>
            <w:r w:rsidR="00367FE8">
              <w:rPr>
                <w:rFonts w:asciiTheme="majorHAnsi" w:eastAsiaTheme="majorEastAsia" w:hAnsiTheme="majorHAnsi" w:cstheme="majorBidi"/>
                <w:color w:val="2F5496" w:themeColor="accent1" w:themeShade="BF"/>
                <w:sz w:val="26"/>
                <w:szCs w:val="26"/>
                <w:lang w:val="en-US"/>
              </w:rPr>
              <w:t xml:space="preserve"> &amp; </w:t>
            </w:r>
            <w:r w:rsidR="00A20329">
              <w:rPr>
                <w:rFonts w:asciiTheme="majorHAnsi" w:eastAsiaTheme="majorEastAsia" w:hAnsiTheme="majorHAnsi" w:cstheme="majorBidi"/>
                <w:color w:val="2F5496" w:themeColor="accent1" w:themeShade="BF"/>
                <w:sz w:val="26"/>
                <w:szCs w:val="26"/>
                <w:lang w:val="en-US"/>
              </w:rPr>
              <w:t>Department Manager</w:t>
            </w:r>
            <w:r w:rsidR="00367FE8">
              <w:rPr>
                <w:rFonts w:asciiTheme="majorHAnsi" w:eastAsiaTheme="majorEastAsia" w:hAnsiTheme="majorHAnsi" w:cstheme="majorBidi"/>
                <w:color w:val="2F5496" w:themeColor="accent1" w:themeShade="BF"/>
                <w:sz w:val="26"/>
                <w:szCs w:val="26"/>
                <w:lang w:val="en-US"/>
              </w:rPr>
              <w:t>,</w:t>
            </w:r>
          </w:p>
          <w:p w14:paraId="28979102" w14:textId="13C8DA50" w:rsidR="00ED3649" w:rsidRPr="00ED3649" w:rsidRDefault="009C6CE0"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Sustainability</w:t>
            </w:r>
            <w:r w:rsidR="000939A8">
              <w:rPr>
                <w:rFonts w:asciiTheme="majorHAnsi" w:eastAsiaTheme="majorEastAsia" w:hAnsiTheme="majorHAnsi" w:cstheme="majorBidi"/>
                <w:color w:val="2F5496" w:themeColor="accent1" w:themeShade="BF"/>
                <w:sz w:val="26"/>
                <w:szCs w:val="26"/>
                <w:lang w:val="en-US"/>
              </w:rPr>
              <w:t xml:space="preserve"> and</w:t>
            </w:r>
            <w:r>
              <w:rPr>
                <w:rFonts w:asciiTheme="majorHAnsi" w:eastAsiaTheme="majorEastAsia" w:hAnsiTheme="majorHAnsi" w:cstheme="majorBidi"/>
                <w:color w:val="2F5496" w:themeColor="accent1" w:themeShade="BF"/>
                <w:sz w:val="26"/>
                <w:szCs w:val="26"/>
                <w:lang w:val="en-US"/>
              </w:rPr>
              <w:t xml:space="preserve"> Renewable Energy Department</w:t>
            </w:r>
          </w:p>
          <w:p w14:paraId="59A2CB79"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tc>
      </w:tr>
      <w:tr w:rsidR="00ED3649" w:rsidRPr="00ED3649" w14:paraId="58278339" w14:textId="77777777" w:rsidTr="00CF13C9">
        <w:trPr>
          <w:trHeight w:val="450"/>
        </w:trPr>
        <w:tc>
          <w:tcPr>
            <w:tcW w:w="3761" w:type="dxa"/>
            <w:shd w:val="clear" w:color="auto" w:fill="auto"/>
          </w:tcPr>
          <w:p w14:paraId="15590A88"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Reviewing Committees</w:t>
            </w:r>
          </w:p>
        </w:tc>
        <w:tc>
          <w:tcPr>
            <w:tcW w:w="5640" w:type="dxa"/>
            <w:shd w:val="clear" w:color="auto" w:fill="auto"/>
          </w:tcPr>
          <w:p w14:paraId="13F5CF89"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ED3649">
              <w:rPr>
                <w:rFonts w:asciiTheme="majorHAnsi" w:eastAsiaTheme="majorEastAsia" w:hAnsiTheme="majorHAnsi" w:cstheme="majorBidi"/>
                <w:color w:val="2F5496" w:themeColor="accent1" w:themeShade="BF"/>
                <w:sz w:val="26"/>
                <w:szCs w:val="26"/>
                <w:lang w:val="en-US"/>
              </w:rPr>
              <w:t>Executive Committee</w:t>
            </w:r>
          </w:p>
        </w:tc>
      </w:tr>
      <w:tr w:rsidR="00ED3649" w:rsidRPr="00ED3649" w14:paraId="052F1853" w14:textId="77777777" w:rsidTr="00CF13C9">
        <w:trPr>
          <w:trHeight w:val="268"/>
        </w:trPr>
        <w:tc>
          <w:tcPr>
            <w:tcW w:w="3761" w:type="dxa"/>
            <w:shd w:val="clear" w:color="auto" w:fill="auto"/>
          </w:tcPr>
          <w:p w14:paraId="7EE21458"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Date of Next Review</w:t>
            </w:r>
          </w:p>
        </w:tc>
        <w:tc>
          <w:tcPr>
            <w:tcW w:w="5640" w:type="dxa"/>
            <w:shd w:val="clear" w:color="auto" w:fill="auto"/>
          </w:tcPr>
          <w:p w14:paraId="423370B9"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ED3649">
              <w:rPr>
                <w:rFonts w:asciiTheme="majorHAnsi" w:eastAsiaTheme="majorEastAsia" w:hAnsiTheme="majorHAnsi" w:cstheme="majorBidi"/>
                <w:color w:val="2F5496" w:themeColor="accent1" w:themeShade="BF"/>
                <w:sz w:val="26"/>
                <w:szCs w:val="26"/>
                <w:lang w:val="en-US"/>
              </w:rPr>
              <w:t>As required</w:t>
            </w:r>
          </w:p>
          <w:p w14:paraId="4A7853AE"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tc>
      </w:tr>
      <w:tr w:rsidR="00ED3649" w:rsidRPr="00ED3649" w14:paraId="06CA9C2A" w14:textId="77777777" w:rsidTr="00CF13C9">
        <w:trPr>
          <w:trHeight w:val="268"/>
        </w:trPr>
        <w:tc>
          <w:tcPr>
            <w:tcW w:w="3761" w:type="dxa"/>
            <w:shd w:val="clear" w:color="auto" w:fill="auto"/>
          </w:tcPr>
          <w:p w14:paraId="7AC4E105"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Frequency of Review</w:t>
            </w:r>
          </w:p>
        </w:tc>
        <w:tc>
          <w:tcPr>
            <w:tcW w:w="5640" w:type="dxa"/>
            <w:shd w:val="clear" w:color="auto" w:fill="auto"/>
          </w:tcPr>
          <w:p w14:paraId="6DF977D9"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ED3649">
              <w:rPr>
                <w:rFonts w:asciiTheme="majorHAnsi" w:eastAsiaTheme="majorEastAsia" w:hAnsiTheme="majorHAnsi" w:cstheme="majorBidi"/>
                <w:color w:val="2F5496" w:themeColor="accent1" w:themeShade="BF"/>
                <w:sz w:val="26"/>
                <w:szCs w:val="26"/>
                <w:lang w:val="en-US"/>
              </w:rPr>
              <w:t>As required</w:t>
            </w:r>
          </w:p>
          <w:p w14:paraId="1677A391"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tc>
      </w:tr>
      <w:tr w:rsidR="00ED3649" w:rsidRPr="00ED3649" w14:paraId="30885508" w14:textId="77777777" w:rsidTr="00CF13C9">
        <w:trPr>
          <w:trHeight w:val="538"/>
        </w:trPr>
        <w:tc>
          <w:tcPr>
            <w:tcW w:w="3761" w:type="dxa"/>
            <w:shd w:val="clear" w:color="auto" w:fill="auto"/>
          </w:tcPr>
          <w:p w14:paraId="25D5AA5C"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Filing Location</w:t>
            </w:r>
          </w:p>
        </w:tc>
        <w:tc>
          <w:tcPr>
            <w:tcW w:w="5640" w:type="dxa"/>
            <w:shd w:val="clear" w:color="auto" w:fill="auto"/>
          </w:tcPr>
          <w:p w14:paraId="10F5609E" w14:textId="1DA624A6" w:rsidR="00ED3649" w:rsidRPr="00ED3649" w:rsidRDefault="000D388C" w:rsidP="000D388C">
            <w:pPr>
              <w:rPr>
                <w:sz w:val="26"/>
                <w:szCs w:val="26"/>
                <w:lang w:val="en-GB"/>
              </w:rPr>
            </w:pPr>
            <w:hyperlink r:id="rId11" w:history="1">
              <w:r w:rsidRPr="000A63F8">
                <w:rPr>
                  <w:rStyle w:val="Hyperlink"/>
                  <w:sz w:val="26"/>
                  <w:szCs w:val="26"/>
                </w:rPr>
                <w:t>The Guide to Supporting Clients - Terms of Reference - All Documents (sharepoint.com)</w:t>
              </w:r>
            </w:hyperlink>
          </w:p>
        </w:tc>
      </w:tr>
      <w:tr w:rsidR="00ED3649" w:rsidRPr="00ED3649" w14:paraId="14B37394" w14:textId="77777777" w:rsidTr="00CF13C9">
        <w:trPr>
          <w:trHeight w:val="268"/>
        </w:trPr>
        <w:tc>
          <w:tcPr>
            <w:tcW w:w="3761" w:type="dxa"/>
            <w:shd w:val="clear" w:color="auto" w:fill="auto"/>
          </w:tcPr>
          <w:p w14:paraId="7932E041"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Sharing Rules</w:t>
            </w:r>
          </w:p>
        </w:tc>
        <w:tc>
          <w:tcPr>
            <w:tcW w:w="5640" w:type="dxa"/>
            <w:shd w:val="clear" w:color="auto" w:fill="auto"/>
          </w:tcPr>
          <w:p w14:paraId="2FD22157"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ED3649">
              <w:rPr>
                <w:rFonts w:asciiTheme="majorHAnsi" w:eastAsiaTheme="majorEastAsia" w:hAnsiTheme="majorHAnsi" w:cstheme="majorBidi"/>
                <w:color w:val="2F5496" w:themeColor="accent1" w:themeShade="BF"/>
                <w:sz w:val="26"/>
                <w:szCs w:val="26"/>
                <w:lang w:val="en-US"/>
              </w:rPr>
              <w:t>Are there restrictions on sharing the policy: No</w:t>
            </w:r>
          </w:p>
          <w:p w14:paraId="2B55C6AC"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tc>
      </w:tr>
    </w:tbl>
    <w:p w14:paraId="2D9DE814"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1DDD02D6" w14:textId="77777777" w:rsidR="00ED3649" w:rsidRPr="00ED3649" w:rsidRDefault="00ED3649" w:rsidP="00ED3649">
      <w:pPr>
        <w:keepNext/>
        <w:keepLines/>
        <w:spacing w:before="40" w:after="0"/>
        <w:outlineLvl w:val="1"/>
        <w:rPr>
          <w:rFonts w:asciiTheme="majorHAnsi" w:eastAsiaTheme="majorEastAsia" w:hAnsiTheme="majorHAnsi" w:cstheme="majorBidi"/>
          <w:b/>
          <w:bCs/>
          <w:color w:val="2F5496" w:themeColor="accent1" w:themeShade="BF"/>
          <w:sz w:val="26"/>
          <w:szCs w:val="26"/>
          <w:lang w:val="en-US"/>
        </w:rPr>
      </w:pPr>
      <w:r w:rsidRPr="00ED3649">
        <w:rPr>
          <w:rFonts w:asciiTheme="majorHAnsi" w:eastAsiaTheme="majorEastAsia" w:hAnsiTheme="majorHAnsi" w:cstheme="majorBidi"/>
          <w:b/>
          <w:bCs/>
          <w:color w:val="2F5496" w:themeColor="accent1" w:themeShade="BF"/>
          <w:sz w:val="26"/>
          <w:szCs w:val="26"/>
          <w:lang w:val="en-US"/>
        </w:rPr>
        <w:t xml:space="preserve">Document History </w:t>
      </w:r>
    </w:p>
    <w:p w14:paraId="42C28EBA"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tbl>
      <w:tblPr>
        <w:tblpPr w:leftFromText="180" w:rightFromText="180" w:vertAnchor="text" w:horzAnchor="margin" w:tblpY="40"/>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2969"/>
        <w:gridCol w:w="3067"/>
        <w:gridCol w:w="1967"/>
      </w:tblGrid>
      <w:tr w:rsidR="00ED3649" w:rsidRPr="00ED3649" w14:paraId="760E54AF" w14:textId="77777777" w:rsidTr="00CF13C9">
        <w:trPr>
          <w:trHeight w:val="274"/>
        </w:trPr>
        <w:tc>
          <w:tcPr>
            <w:tcW w:w="1385" w:type="dxa"/>
          </w:tcPr>
          <w:p w14:paraId="3CEA5E3F"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Review No.</w:t>
            </w:r>
          </w:p>
        </w:tc>
        <w:tc>
          <w:tcPr>
            <w:tcW w:w="2969" w:type="dxa"/>
          </w:tcPr>
          <w:p w14:paraId="062E6737"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Approving Committee</w:t>
            </w:r>
          </w:p>
          <w:p w14:paraId="3D3A51AB"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p>
        </w:tc>
        <w:tc>
          <w:tcPr>
            <w:tcW w:w="3067" w:type="dxa"/>
          </w:tcPr>
          <w:p w14:paraId="015BD8CE"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Approval Minute Reference</w:t>
            </w:r>
          </w:p>
        </w:tc>
        <w:tc>
          <w:tcPr>
            <w:tcW w:w="1967" w:type="dxa"/>
          </w:tcPr>
          <w:p w14:paraId="3B98F57B"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Approval Date</w:t>
            </w:r>
          </w:p>
        </w:tc>
      </w:tr>
      <w:tr w:rsidR="00ED3649" w:rsidRPr="00ED3649" w14:paraId="31C50109" w14:textId="77777777" w:rsidTr="00CF13C9">
        <w:trPr>
          <w:trHeight w:val="274"/>
        </w:trPr>
        <w:tc>
          <w:tcPr>
            <w:tcW w:w="1385" w:type="dxa"/>
            <w:shd w:val="clear" w:color="auto" w:fill="auto"/>
          </w:tcPr>
          <w:p w14:paraId="1A728F90" w14:textId="75403D6B" w:rsidR="001A65C6"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Rev. 1</w:t>
            </w:r>
            <w:r w:rsidR="00350E16">
              <w:rPr>
                <w:rFonts w:asciiTheme="majorHAnsi" w:eastAsiaTheme="majorEastAsia" w:hAnsiTheme="majorHAnsi" w:cstheme="majorBidi"/>
                <w:b/>
                <w:color w:val="2F5496" w:themeColor="accent1" w:themeShade="BF"/>
                <w:sz w:val="26"/>
                <w:szCs w:val="26"/>
                <w:lang w:val="en-US"/>
              </w:rPr>
              <w:t xml:space="preserve"> (v</w:t>
            </w:r>
            <w:r w:rsidR="001A65C6">
              <w:rPr>
                <w:rFonts w:asciiTheme="majorHAnsi" w:eastAsiaTheme="majorEastAsia" w:hAnsiTheme="majorHAnsi" w:cstheme="majorBidi"/>
                <w:b/>
                <w:color w:val="2F5496" w:themeColor="accent1" w:themeShade="BF"/>
                <w:sz w:val="26"/>
                <w:szCs w:val="26"/>
                <w:lang w:val="en-US"/>
              </w:rPr>
              <w:t>7</w:t>
            </w:r>
            <w:r w:rsidR="00350E16">
              <w:rPr>
                <w:rFonts w:asciiTheme="majorHAnsi" w:eastAsiaTheme="majorEastAsia" w:hAnsiTheme="majorHAnsi" w:cstheme="majorBidi"/>
                <w:b/>
                <w:color w:val="2F5496" w:themeColor="accent1" w:themeShade="BF"/>
                <w:sz w:val="26"/>
                <w:szCs w:val="26"/>
                <w:lang w:val="en-US"/>
              </w:rPr>
              <w:t>)</w:t>
            </w:r>
            <w:r w:rsidR="001A65C6">
              <w:rPr>
                <w:rFonts w:asciiTheme="majorHAnsi" w:eastAsiaTheme="majorEastAsia" w:hAnsiTheme="majorHAnsi" w:cstheme="majorBidi"/>
                <w:b/>
                <w:color w:val="2F5496" w:themeColor="accent1" w:themeShade="BF"/>
                <w:sz w:val="26"/>
                <w:szCs w:val="26"/>
                <w:lang w:val="en-US"/>
              </w:rPr>
              <w:t xml:space="preserve"> </w:t>
            </w:r>
          </w:p>
          <w:p w14:paraId="3D01A302"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p>
        </w:tc>
        <w:tc>
          <w:tcPr>
            <w:tcW w:w="2969" w:type="dxa"/>
            <w:shd w:val="clear" w:color="auto" w:fill="auto"/>
          </w:tcPr>
          <w:p w14:paraId="02D752B4" w14:textId="71FC65E9" w:rsidR="00ED3649" w:rsidRPr="00ED3649" w:rsidRDefault="00071B18"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Execut</w:t>
            </w:r>
            <w:r w:rsidR="00274797">
              <w:rPr>
                <w:rFonts w:asciiTheme="majorHAnsi" w:eastAsiaTheme="majorEastAsia" w:hAnsiTheme="majorHAnsi" w:cstheme="majorBidi"/>
                <w:color w:val="2F5496" w:themeColor="accent1" w:themeShade="BF"/>
                <w:sz w:val="26"/>
                <w:szCs w:val="26"/>
                <w:lang w:val="en-US"/>
              </w:rPr>
              <w:t>i</w:t>
            </w:r>
            <w:r>
              <w:rPr>
                <w:rFonts w:asciiTheme="majorHAnsi" w:eastAsiaTheme="majorEastAsia" w:hAnsiTheme="majorHAnsi" w:cstheme="majorBidi"/>
                <w:color w:val="2F5496" w:themeColor="accent1" w:themeShade="BF"/>
                <w:sz w:val="26"/>
                <w:szCs w:val="26"/>
                <w:lang w:val="en-US"/>
              </w:rPr>
              <w:t>ve Committee</w:t>
            </w:r>
          </w:p>
        </w:tc>
        <w:tc>
          <w:tcPr>
            <w:tcW w:w="3067" w:type="dxa"/>
            <w:shd w:val="clear" w:color="auto" w:fill="auto"/>
          </w:tcPr>
          <w:p w14:paraId="198C881A" w14:textId="3FA5B54B" w:rsidR="00ED3649" w:rsidRPr="00ED3649" w:rsidRDefault="006F1C4B"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30</w:t>
            </w:r>
            <w:r w:rsidR="00684A41">
              <w:rPr>
                <w:rFonts w:asciiTheme="majorHAnsi" w:eastAsiaTheme="majorEastAsia" w:hAnsiTheme="majorHAnsi" w:cstheme="majorBidi"/>
                <w:color w:val="2F5496" w:themeColor="accent1" w:themeShade="BF"/>
                <w:sz w:val="26"/>
                <w:szCs w:val="26"/>
                <w:lang w:val="en-US"/>
              </w:rPr>
              <w:t>/</w:t>
            </w:r>
            <w:r w:rsidR="00F52E27">
              <w:rPr>
                <w:rFonts w:asciiTheme="majorHAnsi" w:eastAsiaTheme="majorEastAsia" w:hAnsiTheme="majorHAnsi" w:cstheme="majorBidi"/>
                <w:color w:val="2F5496" w:themeColor="accent1" w:themeShade="BF"/>
                <w:sz w:val="26"/>
                <w:szCs w:val="26"/>
                <w:lang w:val="en-US"/>
              </w:rPr>
              <w:t>4</w:t>
            </w:r>
            <w:r w:rsidR="00684A41">
              <w:rPr>
                <w:rFonts w:asciiTheme="majorHAnsi" w:eastAsiaTheme="majorEastAsia" w:hAnsiTheme="majorHAnsi" w:cstheme="majorBidi"/>
                <w:color w:val="2F5496" w:themeColor="accent1" w:themeShade="BF"/>
                <w:sz w:val="26"/>
                <w:szCs w:val="26"/>
                <w:lang w:val="en-US"/>
              </w:rPr>
              <w:t>.6</w:t>
            </w:r>
          </w:p>
        </w:tc>
        <w:tc>
          <w:tcPr>
            <w:tcW w:w="1967" w:type="dxa"/>
            <w:shd w:val="clear" w:color="auto" w:fill="auto"/>
          </w:tcPr>
          <w:p w14:paraId="3F4E1694" w14:textId="595B0309" w:rsidR="00ED3649" w:rsidRPr="00ED3649" w:rsidRDefault="00D1186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31.10.23</w:t>
            </w:r>
          </w:p>
        </w:tc>
      </w:tr>
      <w:tr w:rsidR="00ED3649" w:rsidRPr="00ED3649" w14:paraId="3633BB09" w14:textId="77777777" w:rsidTr="00CF13C9">
        <w:trPr>
          <w:trHeight w:val="274"/>
        </w:trPr>
        <w:tc>
          <w:tcPr>
            <w:tcW w:w="1385" w:type="dxa"/>
            <w:shd w:val="clear" w:color="auto" w:fill="auto"/>
          </w:tcPr>
          <w:p w14:paraId="4D87273E" w14:textId="446AA910"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Rev. 2</w:t>
            </w:r>
            <w:r w:rsidR="00350E16">
              <w:rPr>
                <w:rFonts w:asciiTheme="majorHAnsi" w:eastAsiaTheme="majorEastAsia" w:hAnsiTheme="majorHAnsi" w:cstheme="majorBidi"/>
                <w:b/>
                <w:color w:val="2F5496" w:themeColor="accent1" w:themeShade="BF"/>
                <w:sz w:val="26"/>
                <w:szCs w:val="26"/>
                <w:lang w:val="en-US"/>
              </w:rPr>
              <w:t xml:space="preserve"> (v9)</w:t>
            </w:r>
          </w:p>
        </w:tc>
        <w:tc>
          <w:tcPr>
            <w:tcW w:w="2969" w:type="dxa"/>
            <w:shd w:val="clear" w:color="auto" w:fill="auto"/>
          </w:tcPr>
          <w:p w14:paraId="54F95342" w14:textId="2703F6FC" w:rsidR="00ED3649" w:rsidRPr="00ED3649" w:rsidRDefault="0028403F"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Executive Committee</w:t>
            </w:r>
          </w:p>
        </w:tc>
        <w:tc>
          <w:tcPr>
            <w:tcW w:w="3067" w:type="dxa"/>
            <w:shd w:val="clear" w:color="auto" w:fill="auto"/>
          </w:tcPr>
          <w:p w14:paraId="7BFBEDBB" w14:textId="31909AB5" w:rsidR="00ED3649" w:rsidRPr="00ED3649" w:rsidRDefault="00965EAE"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46/4.4</w:t>
            </w:r>
          </w:p>
        </w:tc>
        <w:tc>
          <w:tcPr>
            <w:tcW w:w="1967" w:type="dxa"/>
            <w:shd w:val="clear" w:color="auto" w:fill="auto"/>
          </w:tcPr>
          <w:p w14:paraId="0ADC0836" w14:textId="1DAD9730" w:rsidR="00ED3649" w:rsidRPr="00ED3649" w:rsidRDefault="0028403F"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04</w:t>
            </w:r>
            <w:r w:rsidR="00C430B5">
              <w:rPr>
                <w:rFonts w:asciiTheme="majorHAnsi" w:eastAsiaTheme="majorEastAsia" w:hAnsiTheme="majorHAnsi" w:cstheme="majorBidi"/>
                <w:color w:val="2F5496" w:themeColor="accent1" w:themeShade="BF"/>
                <w:sz w:val="26"/>
                <w:szCs w:val="26"/>
                <w:lang w:val="en-US"/>
              </w:rPr>
              <w:t>.11.24</w:t>
            </w:r>
          </w:p>
        </w:tc>
      </w:tr>
      <w:tr w:rsidR="00ED3649" w:rsidRPr="00ED3649" w14:paraId="1DBEE62B" w14:textId="77777777" w:rsidTr="00CF13C9">
        <w:trPr>
          <w:trHeight w:val="550"/>
        </w:trPr>
        <w:tc>
          <w:tcPr>
            <w:tcW w:w="1385" w:type="dxa"/>
            <w:shd w:val="clear" w:color="auto" w:fill="auto"/>
          </w:tcPr>
          <w:p w14:paraId="799B23AE"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r w:rsidRPr="00ED3649">
              <w:rPr>
                <w:rFonts w:asciiTheme="majorHAnsi" w:eastAsiaTheme="majorEastAsia" w:hAnsiTheme="majorHAnsi" w:cstheme="majorBidi"/>
                <w:b/>
                <w:color w:val="2F5496" w:themeColor="accent1" w:themeShade="BF"/>
                <w:sz w:val="26"/>
                <w:szCs w:val="26"/>
                <w:lang w:val="en-US"/>
              </w:rPr>
              <w:t>Rev. 3</w:t>
            </w:r>
          </w:p>
          <w:p w14:paraId="4FB4BB21" w14:textId="77777777" w:rsidR="00ED3649" w:rsidRPr="00ED3649" w:rsidRDefault="00ED3649" w:rsidP="00ED3649">
            <w:pPr>
              <w:keepNext/>
              <w:keepLines/>
              <w:spacing w:before="40" w:after="0"/>
              <w:outlineLvl w:val="1"/>
              <w:rPr>
                <w:rFonts w:asciiTheme="majorHAnsi" w:eastAsiaTheme="majorEastAsia" w:hAnsiTheme="majorHAnsi" w:cstheme="majorBidi"/>
                <w:b/>
                <w:color w:val="2F5496" w:themeColor="accent1" w:themeShade="BF"/>
                <w:sz w:val="26"/>
                <w:szCs w:val="26"/>
                <w:lang w:val="en-US"/>
              </w:rPr>
            </w:pPr>
          </w:p>
        </w:tc>
        <w:tc>
          <w:tcPr>
            <w:tcW w:w="2969" w:type="dxa"/>
            <w:shd w:val="clear" w:color="auto" w:fill="auto"/>
          </w:tcPr>
          <w:p w14:paraId="637BB0A3"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tc>
        <w:tc>
          <w:tcPr>
            <w:tcW w:w="3067" w:type="dxa"/>
            <w:shd w:val="clear" w:color="auto" w:fill="auto"/>
          </w:tcPr>
          <w:p w14:paraId="1B343A47"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tc>
        <w:tc>
          <w:tcPr>
            <w:tcW w:w="1967" w:type="dxa"/>
            <w:shd w:val="clear" w:color="auto" w:fill="auto"/>
          </w:tcPr>
          <w:p w14:paraId="3DAC8032" w14:textId="77777777" w:rsidR="00ED3649" w:rsidRPr="00ED3649" w:rsidRDefault="00ED3649" w:rsidP="00ED364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tc>
      </w:tr>
    </w:tbl>
    <w:p w14:paraId="05219EB0" w14:textId="05EF0E0C" w:rsid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3EFAA92B" w14:textId="77777777" w:rsidR="00C31EA8" w:rsidRDefault="00C31EA8"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11265E0D" w14:textId="77777777" w:rsidR="00717205" w:rsidRDefault="00717205"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09066CE7" w14:textId="77777777" w:rsidR="00717205" w:rsidRDefault="00717205"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57F9F1B5" w14:textId="77777777" w:rsidR="000D388C" w:rsidRDefault="000D388C"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50AD882F" w14:textId="77777777" w:rsidR="000D388C" w:rsidRDefault="000D388C"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53457A8A" w14:textId="77777777" w:rsidR="000D388C" w:rsidRDefault="000D388C"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263392A9" w14:textId="77777777" w:rsidR="000D388C" w:rsidRDefault="000D388C"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20295EA5" w14:textId="77777777" w:rsidR="000D388C" w:rsidRPr="00971CB9" w:rsidRDefault="000D388C"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p>
    <w:tbl>
      <w:tblPr>
        <w:tblStyle w:val="GridTable4-Accent52"/>
        <w:tblW w:w="10456" w:type="dxa"/>
        <w:tblLook w:val="06A0" w:firstRow="1" w:lastRow="0" w:firstColumn="1" w:lastColumn="0" w:noHBand="1" w:noVBand="1"/>
      </w:tblPr>
      <w:tblGrid>
        <w:gridCol w:w="1625"/>
        <w:gridCol w:w="1838"/>
        <w:gridCol w:w="6993"/>
      </w:tblGrid>
      <w:tr w:rsidR="004D64EF" w:rsidRPr="007916A0" w14:paraId="42FD7751" w14:textId="77777777" w:rsidTr="004D64EF">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625" w:type="dxa"/>
          </w:tcPr>
          <w:p w14:paraId="142684D2" w14:textId="77777777" w:rsidR="004D64EF" w:rsidRPr="007916A0" w:rsidRDefault="004D64EF" w:rsidP="00B53BE6"/>
        </w:tc>
        <w:tc>
          <w:tcPr>
            <w:tcW w:w="8831" w:type="dxa"/>
            <w:gridSpan w:val="2"/>
          </w:tcPr>
          <w:p w14:paraId="2B10EA69" w14:textId="3FB815BB" w:rsidR="004D64EF" w:rsidRPr="007916A0" w:rsidRDefault="004D64EF" w:rsidP="00B53BE6">
            <w:pPr>
              <w:cnfStyle w:val="100000000000" w:firstRow="1" w:lastRow="0" w:firstColumn="0" w:lastColumn="0" w:oddVBand="0" w:evenVBand="0" w:oddHBand="0" w:evenHBand="0" w:firstRowFirstColumn="0" w:firstRowLastColumn="0" w:lastRowFirstColumn="0" w:lastRowLastColumn="0"/>
            </w:pPr>
            <w:r w:rsidRPr="007916A0">
              <w:t>Document Revision History</w:t>
            </w:r>
          </w:p>
        </w:tc>
      </w:tr>
      <w:tr w:rsidR="004D64EF" w:rsidRPr="007916A0" w14:paraId="3A997B1E" w14:textId="77777777" w:rsidTr="004D64EF">
        <w:trPr>
          <w:trHeight w:val="309"/>
        </w:trPr>
        <w:tc>
          <w:tcPr>
            <w:cnfStyle w:val="001000000000" w:firstRow="0" w:lastRow="0" w:firstColumn="1" w:lastColumn="0" w:oddVBand="0" w:evenVBand="0" w:oddHBand="0" w:evenHBand="0" w:firstRowFirstColumn="0" w:firstRowLastColumn="0" w:lastRowFirstColumn="0" w:lastRowLastColumn="0"/>
            <w:tcW w:w="1625" w:type="dxa"/>
          </w:tcPr>
          <w:p w14:paraId="03408847" w14:textId="2DD88F03" w:rsidR="004D64EF" w:rsidRPr="007916A0" w:rsidRDefault="004D64EF" w:rsidP="00B53BE6">
            <w:r>
              <w:t>Version 1</w:t>
            </w:r>
          </w:p>
        </w:tc>
        <w:tc>
          <w:tcPr>
            <w:tcW w:w="1838" w:type="dxa"/>
          </w:tcPr>
          <w:p w14:paraId="10D7289C" w14:textId="6CD35A6A" w:rsidR="004D64EF" w:rsidRPr="007916A0" w:rsidRDefault="004D64EF" w:rsidP="00B53BE6">
            <w:pPr>
              <w:cnfStyle w:val="000000000000" w:firstRow="0" w:lastRow="0" w:firstColumn="0" w:lastColumn="0" w:oddVBand="0" w:evenVBand="0" w:oddHBand="0" w:evenHBand="0" w:firstRowFirstColumn="0" w:firstRowLastColumn="0" w:lastRowFirstColumn="0" w:lastRowLastColumn="0"/>
            </w:pPr>
            <w:r w:rsidRPr="007916A0">
              <w:t>20/8/2020</w:t>
            </w:r>
          </w:p>
        </w:tc>
        <w:tc>
          <w:tcPr>
            <w:tcW w:w="6993" w:type="dxa"/>
          </w:tcPr>
          <w:p w14:paraId="293D9568" w14:textId="77777777" w:rsidR="004D64EF" w:rsidRPr="007916A0" w:rsidRDefault="004D64EF" w:rsidP="00B53BE6">
            <w:pPr>
              <w:cnfStyle w:val="000000000000" w:firstRow="0" w:lastRow="0" w:firstColumn="0" w:lastColumn="0" w:oddVBand="0" w:evenVBand="0" w:oddHBand="0" w:evenHBand="0" w:firstRowFirstColumn="0" w:firstRowLastColumn="0" w:lastRowFirstColumn="0" w:lastRowLastColumn="0"/>
            </w:pPr>
            <w:r w:rsidRPr="007916A0">
              <w:t>Initial version after decoupling from Lean Business Offer</w:t>
            </w:r>
          </w:p>
        </w:tc>
      </w:tr>
      <w:tr w:rsidR="004D64EF" w:rsidRPr="007916A0" w14:paraId="2C173E85" w14:textId="77777777" w:rsidTr="004D64EF">
        <w:trPr>
          <w:trHeight w:val="309"/>
        </w:trPr>
        <w:tc>
          <w:tcPr>
            <w:cnfStyle w:val="001000000000" w:firstRow="0" w:lastRow="0" w:firstColumn="1" w:lastColumn="0" w:oddVBand="0" w:evenVBand="0" w:oddHBand="0" w:evenHBand="0" w:firstRowFirstColumn="0" w:firstRowLastColumn="0" w:lastRowFirstColumn="0" w:lastRowLastColumn="0"/>
            <w:tcW w:w="1625" w:type="dxa"/>
          </w:tcPr>
          <w:p w14:paraId="00161289" w14:textId="287C46ED" w:rsidR="004D64EF" w:rsidRPr="007916A0" w:rsidRDefault="004D64EF" w:rsidP="00B53BE6">
            <w:r>
              <w:t>Version 2</w:t>
            </w:r>
          </w:p>
        </w:tc>
        <w:tc>
          <w:tcPr>
            <w:tcW w:w="1838" w:type="dxa"/>
          </w:tcPr>
          <w:p w14:paraId="1DF1E69B" w14:textId="3F6AD264" w:rsidR="004D64EF" w:rsidRPr="007916A0" w:rsidRDefault="004D64EF" w:rsidP="00B53BE6">
            <w:pPr>
              <w:cnfStyle w:val="000000000000" w:firstRow="0" w:lastRow="0" w:firstColumn="0" w:lastColumn="0" w:oddVBand="0" w:evenVBand="0" w:oddHBand="0" w:evenHBand="0" w:firstRowFirstColumn="0" w:firstRowLastColumn="0" w:lastRowFirstColumn="0" w:lastRowLastColumn="0"/>
            </w:pPr>
            <w:r w:rsidRPr="007916A0">
              <w:t>31/3/2021</w:t>
            </w:r>
          </w:p>
        </w:tc>
        <w:tc>
          <w:tcPr>
            <w:tcW w:w="6993" w:type="dxa"/>
          </w:tcPr>
          <w:p w14:paraId="64289A0E" w14:textId="77777777" w:rsidR="004D64EF" w:rsidRPr="007916A0" w:rsidRDefault="004D64EF" w:rsidP="00B53BE6">
            <w:pPr>
              <w:cnfStyle w:val="000000000000" w:firstRow="0" w:lastRow="0" w:firstColumn="0" w:lastColumn="0" w:oddVBand="0" w:evenVBand="0" w:oddHBand="0" w:evenHBand="0" w:firstRowFirstColumn="0" w:firstRowLastColumn="0" w:lastRowFirstColumn="0" w:lastRowLastColumn="0"/>
            </w:pPr>
            <w:r w:rsidRPr="007916A0">
              <w:t>All HPSUs can now apply for GreenStart</w:t>
            </w:r>
          </w:p>
          <w:p w14:paraId="04AAEB73" w14:textId="77777777" w:rsidR="004D64EF" w:rsidRPr="007916A0" w:rsidRDefault="004D64EF" w:rsidP="00B53BE6">
            <w:pPr>
              <w:cnfStyle w:val="000000000000" w:firstRow="0" w:lastRow="0" w:firstColumn="0" w:lastColumn="0" w:oddVBand="0" w:evenVBand="0" w:oddHBand="0" w:evenHBand="0" w:firstRowFirstColumn="0" w:firstRowLastColumn="0" w:lastRowFirstColumn="0" w:lastRowLastColumn="0"/>
            </w:pPr>
            <w:r w:rsidRPr="007916A0">
              <w:t>Increase in GreenPlus trainees to 10</w:t>
            </w:r>
          </w:p>
        </w:tc>
      </w:tr>
      <w:tr w:rsidR="004D64EF" w:rsidRPr="007916A0" w14:paraId="3EBDC04A" w14:textId="77777777" w:rsidTr="004D64EF">
        <w:trPr>
          <w:trHeight w:val="309"/>
        </w:trPr>
        <w:tc>
          <w:tcPr>
            <w:cnfStyle w:val="001000000000" w:firstRow="0" w:lastRow="0" w:firstColumn="1" w:lastColumn="0" w:oddVBand="0" w:evenVBand="0" w:oddHBand="0" w:evenHBand="0" w:firstRowFirstColumn="0" w:firstRowLastColumn="0" w:lastRowFirstColumn="0" w:lastRowLastColumn="0"/>
            <w:tcW w:w="1625" w:type="dxa"/>
          </w:tcPr>
          <w:p w14:paraId="07E7EA1D" w14:textId="67F7BFBA" w:rsidR="004D64EF" w:rsidRPr="007916A0" w:rsidRDefault="004D64EF" w:rsidP="00B53BE6">
            <w:r>
              <w:t>Version 3</w:t>
            </w:r>
          </w:p>
        </w:tc>
        <w:tc>
          <w:tcPr>
            <w:tcW w:w="1838" w:type="dxa"/>
          </w:tcPr>
          <w:p w14:paraId="12C64072" w14:textId="4EED7D2C" w:rsidR="004D64EF" w:rsidRPr="007916A0" w:rsidRDefault="004D64EF" w:rsidP="00B53BE6">
            <w:pPr>
              <w:cnfStyle w:val="000000000000" w:firstRow="0" w:lastRow="0" w:firstColumn="0" w:lastColumn="0" w:oddVBand="0" w:evenVBand="0" w:oddHBand="0" w:evenHBand="0" w:firstRowFirstColumn="0" w:firstRowLastColumn="0" w:lastRowFirstColumn="0" w:lastRowLastColumn="0"/>
            </w:pPr>
            <w:r w:rsidRPr="007916A0">
              <w:t>08/03/2022</w:t>
            </w:r>
          </w:p>
        </w:tc>
        <w:tc>
          <w:tcPr>
            <w:tcW w:w="6993" w:type="dxa"/>
          </w:tcPr>
          <w:p w14:paraId="5AA31DDE" w14:textId="77777777" w:rsidR="004D64EF" w:rsidRPr="007916A0" w:rsidRDefault="004D64EF" w:rsidP="00B53BE6">
            <w:pPr>
              <w:cnfStyle w:val="000000000000" w:firstRow="0" w:lastRow="0" w:firstColumn="0" w:lastColumn="0" w:oddVBand="0" w:evenVBand="0" w:oddHBand="0" w:evenHBand="0" w:firstRowFirstColumn="0" w:firstRowLastColumn="0" w:lastRowFirstColumn="0" w:lastRowLastColumn="0"/>
            </w:pPr>
            <w:r w:rsidRPr="007916A0">
              <w:t>Amalgamated Climate Action Voucher, GreenStart &amp; GreenPlus reference documents</w:t>
            </w:r>
          </w:p>
        </w:tc>
      </w:tr>
      <w:tr w:rsidR="004D64EF" w:rsidRPr="007916A0" w14:paraId="666DDC28" w14:textId="77777777" w:rsidTr="004D64EF">
        <w:trPr>
          <w:trHeight w:val="309"/>
        </w:trPr>
        <w:tc>
          <w:tcPr>
            <w:cnfStyle w:val="001000000000" w:firstRow="0" w:lastRow="0" w:firstColumn="1" w:lastColumn="0" w:oddVBand="0" w:evenVBand="0" w:oddHBand="0" w:evenHBand="0" w:firstRowFirstColumn="0" w:firstRowLastColumn="0" w:lastRowFirstColumn="0" w:lastRowLastColumn="0"/>
            <w:tcW w:w="1625" w:type="dxa"/>
          </w:tcPr>
          <w:p w14:paraId="31B4793C" w14:textId="112A5FB2" w:rsidR="004D64EF" w:rsidRDefault="004D64EF" w:rsidP="00B53BE6">
            <w:r>
              <w:t>Version 4</w:t>
            </w:r>
          </w:p>
        </w:tc>
        <w:tc>
          <w:tcPr>
            <w:tcW w:w="1838" w:type="dxa"/>
          </w:tcPr>
          <w:p w14:paraId="1086AD47" w14:textId="01624317" w:rsidR="004D64EF" w:rsidRPr="007916A0" w:rsidRDefault="004D64EF" w:rsidP="00B53BE6">
            <w:pPr>
              <w:cnfStyle w:val="000000000000" w:firstRow="0" w:lastRow="0" w:firstColumn="0" w:lastColumn="0" w:oddVBand="0" w:evenVBand="0" w:oddHBand="0" w:evenHBand="0" w:firstRowFirstColumn="0" w:firstRowLastColumn="0" w:lastRowFirstColumn="0" w:lastRowLastColumn="0"/>
            </w:pPr>
            <w:r>
              <w:t>10/05/2022</w:t>
            </w:r>
          </w:p>
        </w:tc>
        <w:tc>
          <w:tcPr>
            <w:tcW w:w="6993" w:type="dxa"/>
          </w:tcPr>
          <w:p w14:paraId="19B240D5" w14:textId="77777777" w:rsidR="004D64EF" w:rsidRPr="007916A0" w:rsidRDefault="004D64EF" w:rsidP="00B53BE6">
            <w:pPr>
              <w:cnfStyle w:val="000000000000" w:firstRow="0" w:lastRow="0" w:firstColumn="0" w:lastColumn="0" w:oddVBand="0" w:evenVBand="0" w:oddHBand="0" w:evenHBand="0" w:firstRowFirstColumn="0" w:firstRowLastColumn="0" w:lastRowFirstColumn="0" w:lastRowLastColumn="0"/>
            </w:pPr>
            <w:r>
              <w:t>EU RRF reporting requirements &amp; Organisational Carbon footprint requirement</w:t>
            </w:r>
          </w:p>
        </w:tc>
      </w:tr>
      <w:tr w:rsidR="004D64EF" w:rsidRPr="007916A0" w14:paraId="4B5AA324" w14:textId="77777777" w:rsidTr="004D64EF">
        <w:trPr>
          <w:trHeight w:val="309"/>
        </w:trPr>
        <w:tc>
          <w:tcPr>
            <w:cnfStyle w:val="001000000000" w:firstRow="0" w:lastRow="0" w:firstColumn="1" w:lastColumn="0" w:oddVBand="0" w:evenVBand="0" w:oddHBand="0" w:evenHBand="0" w:firstRowFirstColumn="0" w:firstRowLastColumn="0" w:lastRowFirstColumn="0" w:lastRowLastColumn="0"/>
            <w:tcW w:w="1625" w:type="dxa"/>
          </w:tcPr>
          <w:p w14:paraId="311C57E8" w14:textId="66A92963" w:rsidR="004D64EF" w:rsidRDefault="004D64EF" w:rsidP="00B53BE6">
            <w:r>
              <w:t>Version 5</w:t>
            </w:r>
          </w:p>
        </w:tc>
        <w:tc>
          <w:tcPr>
            <w:tcW w:w="1838" w:type="dxa"/>
          </w:tcPr>
          <w:p w14:paraId="10CF43D4" w14:textId="1333464B" w:rsidR="004D64EF" w:rsidRDefault="004D64EF" w:rsidP="00B53BE6">
            <w:pPr>
              <w:cnfStyle w:val="000000000000" w:firstRow="0" w:lastRow="0" w:firstColumn="0" w:lastColumn="0" w:oddVBand="0" w:evenVBand="0" w:oddHBand="0" w:evenHBand="0" w:firstRowFirstColumn="0" w:firstRowLastColumn="0" w:lastRowFirstColumn="0" w:lastRowLastColumn="0"/>
            </w:pPr>
            <w:r>
              <w:t>03/06/2022</w:t>
            </w:r>
          </w:p>
        </w:tc>
        <w:tc>
          <w:tcPr>
            <w:tcW w:w="6993" w:type="dxa"/>
          </w:tcPr>
          <w:p w14:paraId="7A69E3F2" w14:textId="5D396602" w:rsidR="004D64EF" w:rsidRDefault="004D64EF" w:rsidP="00B53BE6">
            <w:pPr>
              <w:cnfStyle w:val="000000000000" w:firstRow="0" w:lastRow="0" w:firstColumn="0" w:lastColumn="0" w:oddVBand="0" w:evenVBand="0" w:oddHBand="0" w:evenHBand="0" w:firstRowFirstColumn="0" w:firstRowLastColumn="0" w:lastRowFirstColumn="0" w:lastRowLastColumn="0"/>
            </w:pPr>
            <w:r w:rsidRPr="00674583">
              <w:t>Addition of eligible companies under the Built to Innovate (Housing for All) programme</w:t>
            </w:r>
            <w:r w:rsidR="00492959">
              <w:t xml:space="preserve"> </w:t>
            </w:r>
            <w:r w:rsidRPr="009C5E18">
              <w:t>‘Climate Enterprise Action Fund’ change to ‘Climate Planning Fund for Business’.</w:t>
            </w:r>
          </w:p>
        </w:tc>
      </w:tr>
      <w:tr w:rsidR="004D64EF" w:rsidRPr="007916A0" w14:paraId="3005031F" w14:textId="77777777" w:rsidTr="004D64EF">
        <w:trPr>
          <w:trHeight w:val="309"/>
        </w:trPr>
        <w:tc>
          <w:tcPr>
            <w:cnfStyle w:val="001000000000" w:firstRow="0" w:lastRow="0" w:firstColumn="1" w:lastColumn="0" w:oddVBand="0" w:evenVBand="0" w:oddHBand="0" w:evenHBand="0" w:firstRowFirstColumn="0" w:firstRowLastColumn="0" w:lastRowFirstColumn="0" w:lastRowLastColumn="0"/>
            <w:tcW w:w="1625" w:type="dxa"/>
          </w:tcPr>
          <w:p w14:paraId="530D843A" w14:textId="269AC561" w:rsidR="004D64EF" w:rsidRDefault="004D64EF" w:rsidP="00B53BE6">
            <w:r>
              <w:lastRenderedPageBreak/>
              <w:t>Version 6</w:t>
            </w:r>
          </w:p>
        </w:tc>
        <w:tc>
          <w:tcPr>
            <w:tcW w:w="1838" w:type="dxa"/>
          </w:tcPr>
          <w:p w14:paraId="11E78FD0" w14:textId="08161AC4" w:rsidR="004D64EF" w:rsidRDefault="004D64EF" w:rsidP="00B53BE6">
            <w:pPr>
              <w:cnfStyle w:val="000000000000" w:firstRow="0" w:lastRow="0" w:firstColumn="0" w:lastColumn="0" w:oddVBand="0" w:evenVBand="0" w:oddHBand="0" w:evenHBand="0" w:firstRowFirstColumn="0" w:firstRowLastColumn="0" w:lastRowFirstColumn="0" w:lastRowLastColumn="0"/>
            </w:pPr>
            <w:r>
              <w:t>22/08/2022</w:t>
            </w:r>
          </w:p>
        </w:tc>
        <w:tc>
          <w:tcPr>
            <w:tcW w:w="6993" w:type="dxa"/>
          </w:tcPr>
          <w:p w14:paraId="7B84C84C" w14:textId="0E9296A3" w:rsidR="004D64EF" w:rsidRPr="00674583" w:rsidRDefault="004D64EF" w:rsidP="00B53BE6">
            <w:pPr>
              <w:cnfStyle w:val="000000000000" w:firstRow="0" w:lastRow="0" w:firstColumn="0" w:lastColumn="0" w:oddVBand="0" w:evenVBand="0" w:oddHBand="0" w:evenHBand="0" w:firstRowFirstColumn="0" w:firstRowLastColumn="0" w:lastRowFirstColumn="0" w:lastRowLastColumn="0"/>
            </w:pPr>
            <w:r>
              <w:t>Update ‘Environmental Compliance and Do No Significant Harm’ wording</w:t>
            </w:r>
          </w:p>
        </w:tc>
      </w:tr>
      <w:tr w:rsidR="004D64EF" w:rsidRPr="007916A0" w14:paraId="2D1064AF" w14:textId="77777777" w:rsidTr="004D64EF">
        <w:trPr>
          <w:trHeight w:val="309"/>
        </w:trPr>
        <w:tc>
          <w:tcPr>
            <w:cnfStyle w:val="001000000000" w:firstRow="0" w:lastRow="0" w:firstColumn="1" w:lastColumn="0" w:oddVBand="0" w:evenVBand="0" w:oddHBand="0" w:evenHBand="0" w:firstRowFirstColumn="0" w:firstRowLastColumn="0" w:lastRowFirstColumn="0" w:lastRowLastColumn="0"/>
            <w:tcW w:w="1625" w:type="dxa"/>
          </w:tcPr>
          <w:p w14:paraId="73BA9689" w14:textId="0F54D25B" w:rsidR="004D64EF" w:rsidRDefault="004D64EF" w:rsidP="00B53BE6">
            <w:r>
              <w:t>Version 7</w:t>
            </w:r>
          </w:p>
        </w:tc>
        <w:tc>
          <w:tcPr>
            <w:tcW w:w="1838" w:type="dxa"/>
          </w:tcPr>
          <w:p w14:paraId="71EC31F2" w14:textId="756BCE4C" w:rsidR="004D64EF" w:rsidRDefault="000B1A47" w:rsidP="00B53BE6">
            <w:pPr>
              <w:cnfStyle w:val="000000000000" w:firstRow="0" w:lastRow="0" w:firstColumn="0" w:lastColumn="0" w:oddVBand="0" w:evenVBand="0" w:oddHBand="0" w:evenHBand="0" w:firstRowFirstColumn="0" w:firstRowLastColumn="0" w:lastRowFirstColumn="0" w:lastRowLastColumn="0"/>
            </w:pPr>
            <w:r>
              <w:t>31</w:t>
            </w:r>
            <w:r w:rsidR="004D64EF">
              <w:t>/10/2023</w:t>
            </w:r>
          </w:p>
        </w:tc>
        <w:tc>
          <w:tcPr>
            <w:tcW w:w="6993" w:type="dxa"/>
          </w:tcPr>
          <w:p w14:paraId="7EB43A27" w14:textId="478EB637" w:rsidR="004D64EF" w:rsidRDefault="004D64EF" w:rsidP="00B53BE6">
            <w:pPr>
              <w:cnfStyle w:val="000000000000" w:firstRow="0" w:lastRow="0" w:firstColumn="0" w:lastColumn="0" w:oddVBand="0" w:evenVBand="0" w:oddHBand="0" w:evenHBand="0" w:firstRowFirstColumn="0" w:firstRowLastColumn="0" w:lastRowFirstColumn="0" w:lastRowLastColumn="0"/>
            </w:pPr>
            <w:r>
              <w:t xml:space="preserve">Climate Action Voucher and GreenStart: </w:t>
            </w:r>
            <w:r w:rsidRPr="005875DB">
              <w:t>Include training course fees as an eligible expenditure for specialised external courses</w:t>
            </w:r>
            <w:r>
              <w:t xml:space="preserve">. </w:t>
            </w:r>
          </w:p>
          <w:p w14:paraId="5A18D64C" w14:textId="03F945FD" w:rsidR="004D64EF" w:rsidRDefault="004D64EF" w:rsidP="00B53BE6">
            <w:pPr>
              <w:cnfStyle w:val="000000000000" w:firstRow="0" w:lastRow="0" w:firstColumn="0" w:lastColumn="0" w:oddVBand="0" w:evenVBand="0" w:oddHBand="0" w:evenHBand="0" w:firstRowFirstColumn="0" w:firstRowLastColumn="0" w:lastRowFirstColumn="0" w:lastRowLastColumn="0"/>
            </w:pPr>
            <w:r>
              <w:t>GreenStart</w:t>
            </w:r>
            <w:r w:rsidRPr="00D21374">
              <w:t xml:space="preserve"> Final Claim Date</w:t>
            </w:r>
            <w:r>
              <w:t xml:space="preserve"> (FCD): reduce</w:t>
            </w:r>
            <w:r w:rsidRPr="00D21374">
              <w:t xml:space="preserve"> to 9 months</w:t>
            </w:r>
            <w:r>
              <w:t xml:space="preserve">, </w:t>
            </w:r>
            <w:proofErr w:type="spellStart"/>
            <w:r>
              <w:t>GreenPlus</w:t>
            </w:r>
            <w:proofErr w:type="spellEnd"/>
            <w:r>
              <w:t xml:space="preserve"> FCD: reduce to 12 </w:t>
            </w:r>
            <w:proofErr w:type="spellStart"/>
            <w:r>
              <w:t>mths</w:t>
            </w:r>
            <w:proofErr w:type="spellEnd"/>
          </w:p>
          <w:p w14:paraId="2404D650" w14:textId="6DFEF43B" w:rsidR="004D64EF" w:rsidRDefault="004D64EF" w:rsidP="00B53BE6">
            <w:pPr>
              <w:cnfStyle w:val="000000000000" w:firstRow="0" w:lastRow="0" w:firstColumn="0" w:lastColumn="0" w:oddVBand="0" w:evenVBand="0" w:oddHBand="0" w:evenHBand="0" w:firstRowFirstColumn="0" w:firstRowLastColumn="0" w:lastRowFirstColumn="0" w:lastRowLastColumn="0"/>
            </w:pPr>
            <w:proofErr w:type="spellStart"/>
            <w:r>
              <w:t>GreenStart</w:t>
            </w:r>
            <w:proofErr w:type="spellEnd"/>
            <w:r>
              <w:t xml:space="preserve"> and </w:t>
            </w:r>
            <w:proofErr w:type="spellStart"/>
            <w:r>
              <w:t>GreenPlus</w:t>
            </w:r>
            <w:proofErr w:type="spellEnd"/>
            <w:r>
              <w:t xml:space="preserve">: </w:t>
            </w:r>
            <w:r w:rsidRPr="002618E9">
              <w:t>increase scope of eligible activitie</w:t>
            </w:r>
            <w:r>
              <w:t>s</w:t>
            </w:r>
          </w:p>
          <w:p w14:paraId="01CE0278" w14:textId="77777777" w:rsidR="004D64EF" w:rsidRDefault="004D64EF" w:rsidP="00B016D0">
            <w:pPr>
              <w:cnfStyle w:val="000000000000" w:firstRow="0" w:lastRow="0" w:firstColumn="0" w:lastColumn="0" w:oddVBand="0" w:evenVBand="0" w:oddHBand="0" w:evenHBand="0" w:firstRowFirstColumn="0" w:firstRowLastColumn="0" w:lastRowFirstColumn="0" w:lastRowLastColumn="0"/>
            </w:pPr>
            <w:proofErr w:type="spellStart"/>
            <w:r>
              <w:t>GreenPlus</w:t>
            </w:r>
            <w:proofErr w:type="spellEnd"/>
            <w:r>
              <w:t>: Reduce number of internal project team days supported, include material costs as an eligible cost, and include ineligible activities</w:t>
            </w:r>
          </w:p>
          <w:p w14:paraId="0D450D00" w14:textId="2CC825B3" w:rsidR="004D64EF" w:rsidRDefault="004D64EF" w:rsidP="00B016D0">
            <w:pPr>
              <w:cnfStyle w:val="000000000000" w:firstRow="0" w:lastRow="0" w:firstColumn="0" w:lastColumn="0" w:oddVBand="0" w:evenVBand="0" w:oddHBand="0" w:evenHBand="0" w:firstRowFirstColumn="0" w:firstRowLastColumn="0" w:lastRowFirstColumn="0" w:lastRowLastColumn="0"/>
            </w:pPr>
            <w:r>
              <w:t>Local Enterprise Office ‘Green for Micro’ change to ‘Green for Business’</w:t>
            </w:r>
          </w:p>
        </w:tc>
      </w:tr>
      <w:tr w:rsidR="009E1207" w:rsidRPr="007916A0" w14:paraId="68675773" w14:textId="77777777" w:rsidTr="004D64EF">
        <w:trPr>
          <w:trHeight w:val="309"/>
        </w:trPr>
        <w:tc>
          <w:tcPr>
            <w:cnfStyle w:val="001000000000" w:firstRow="0" w:lastRow="0" w:firstColumn="1" w:lastColumn="0" w:oddVBand="0" w:evenVBand="0" w:oddHBand="0" w:evenHBand="0" w:firstRowFirstColumn="0" w:firstRowLastColumn="0" w:lastRowFirstColumn="0" w:lastRowLastColumn="0"/>
            <w:tcW w:w="1625" w:type="dxa"/>
          </w:tcPr>
          <w:p w14:paraId="2C008C2B" w14:textId="46B37D11" w:rsidR="009E1207" w:rsidRDefault="009E1207" w:rsidP="00B53BE6">
            <w:r>
              <w:t>Version 8</w:t>
            </w:r>
          </w:p>
        </w:tc>
        <w:tc>
          <w:tcPr>
            <w:tcW w:w="1838" w:type="dxa"/>
          </w:tcPr>
          <w:p w14:paraId="2C0E1661" w14:textId="7EF771D7" w:rsidR="009E1207" w:rsidRDefault="009E1207" w:rsidP="00B53BE6">
            <w:pPr>
              <w:cnfStyle w:val="000000000000" w:firstRow="0" w:lastRow="0" w:firstColumn="0" w:lastColumn="0" w:oddVBand="0" w:evenVBand="0" w:oddHBand="0" w:evenHBand="0" w:firstRowFirstColumn="0" w:firstRowLastColumn="0" w:lastRowFirstColumn="0" w:lastRowLastColumn="0"/>
            </w:pPr>
            <w:r>
              <w:t>1/3/2024</w:t>
            </w:r>
          </w:p>
        </w:tc>
        <w:tc>
          <w:tcPr>
            <w:tcW w:w="6993" w:type="dxa"/>
          </w:tcPr>
          <w:p w14:paraId="337D4907" w14:textId="3B44225C" w:rsidR="009E1207" w:rsidRDefault="00807E7F" w:rsidP="00B53BE6">
            <w:pPr>
              <w:cnfStyle w:val="000000000000" w:firstRow="0" w:lastRow="0" w:firstColumn="0" w:lastColumn="0" w:oddVBand="0" w:evenVBand="0" w:oddHBand="0" w:evenHBand="0" w:firstRowFirstColumn="0" w:firstRowLastColumn="0" w:lastRowFirstColumn="0" w:lastRowLastColumn="0"/>
            </w:pPr>
            <w:r>
              <w:t>Update of the Commission Regulation numbers for General Block Exemption and for De Minimis Aid Regulations.</w:t>
            </w:r>
          </w:p>
        </w:tc>
      </w:tr>
      <w:tr w:rsidR="00164D13" w:rsidRPr="007916A0" w14:paraId="73DB388F" w14:textId="77777777" w:rsidTr="004D64EF">
        <w:trPr>
          <w:trHeight w:val="309"/>
        </w:trPr>
        <w:tc>
          <w:tcPr>
            <w:cnfStyle w:val="001000000000" w:firstRow="0" w:lastRow="0" w:firstColumn="1" w:lastColumn="0" w:oddVBand="0" w:evenVBand="0" w:oddHBand="0" w:evenHBand="0" w:firstRowFirstColumn="0" w:firstRowLastColumn="0" w:lastRowFirstColumn="0" w:lastRowLastColumn="0"/>
            <w:tcW w:w="1625" w:type="dxa"/>
          </w:tcPr>
          <w:p w14:paraId="529A9B2A" w14:textId="3A6437AD" w:rsidR="00164D13" w:rsidRDefault="00164D13" w:rsidP="00B53BE6">
            <w:r>
              <w:t>Version 9</w:t>
            </w:r>
          </w:p>
        </w:tc>
        <w:tc>
          <w:tcPr>
            <w:tcW w:w="1838" w:type="dxa"/>
          </w:tcPr>
          <w:p w14:paraId="103F894E" w14:textId="11104CF1" w:rsidR="00164D13" w:rsidRDefault="00DE6B0E" w:rsidP="00B53BE6">
            <w:pPr>
              <w:cnfStyle w:val="000000000000" w:firstRow="0" w:lastRow="0" w:firstColumn="0" w:lastColumn="0" w:oddVBand="0" w:evenVBand="0" w:oddHBand="0" w:evenHBand="0" w:firstRowFirstColumn="0" w:firstRowLastColumn="0" w:lastRowFirstColumn="0" w:lastRowLastColumn="0"/>
            </w:pPr>
            <w:r>
              <w:t>4</w:t>
            </w:r>
            <w:r w:rsidR="00164D13">
              <w:t>/</w:t>
            </w:r>
            <w:r w:rsidR="00E9301E">
              <w:t>1</w:t>
            </w:r>
            <w:r w:rsidR="00B26C04">
              <w:t>1</w:t>
            </w:r>
            <w:r w:rsidR="00164D13">
              <w:t>/24</w:t>
            </w:r>
          </w:p>
        </w:tc>
        <w:tc>
          <w:tcPr>
            <w:tcW w:w="6993" w:type="dxa"/>
          </w:tcPr>
          <w:p w14:paraId="70833027" w14:textId="278DDC8A" w:rsidR="00164D13" w:rsidRDefault="000270C7" w:rsidP="00B53BE6">
            <w:pPr>
              <w:cnfStyle w:val="000000000000" w:firstRow="0" w:lastRow="0" w:firstColumn="0" w:lastColumn="0" w:oddVBand="0" w:evenVBand="0" w:oddHBand="0" w:evenHBand="0" w:firstRowFirstColumn="0" w:firstRowLastColumn="0" w:lastRowFirstColumn="0" w:lastRowLastColumn="0"/>
            </w:pPr>
            <w:r>
              <w:t>Update call basis</w:t>
            </w:r>
            <w:r w:rsidR="00881E87">
              <w:t>, weblinks,</w:t>
            </w:r>
            <w:r w:rsidR="0031181C">
              <w:t xml:space="preserve"> </w:t>
            </w:r>
            <w:r w:rsidR="009540D3">
              <w:t xml:space="preserve">and </w:t>
            </w:r>
            <w:r w:rsidR="00BA7048">
              <w:t xml:space="preserve">the </w:t>
            </w:r>
            <w:r w:rsidR="0031181C">
              <w:t xml:space="preserve">application process, include </w:t>
            </w:r>
            <w:r w:rsidR="003D24B4">
              <w:t>co</w:t>
            </w:r>
            <w:r w:rsidR="00F86788">
              <w:t xml:space="preserve">sts for the use of digital content for </w:t>
            </w:r>
            <w:r w:rsidR="0055008B">
              <w:t>sustainability e learning</w:t>
            </w:r>
            <w:r w:rsidR="0075268A">
              <w:t>,</w:t>
            </w:r>
            <w:r w:rsidR="0055008B">
              <w:t xml:space="preserve"> benchmarking</w:t>
            </w:r>
            <w:r w:rsidR="0075268A">
              <w:t xml:space="preserve"> and </w:t>
            </w:r>
            <w:proofErr w:type="spellStart"/>
            <w:r w:rsidR="0055008B">
              <w:t>healthchecks</w:t>
            </w:r>
            <w:proofErr w:type="spellEnd"/>
            <w:r w:rsidR="0055008B">
              <w:t xml:space="preserve"> </w:t>
            </w:r>
            <w:r w:rsidR="0031181C">
              <w:t>as an eligible expenditure under</w:t>
            </w:r>
            <w:r w:rsidR="003A7ADE">
              <w:t xml:space="preserve"> the</w:t>
            </w:r>
            <w:r w:rsidR="0031181C">
              <w:t xml:space="preserve"> Climate Action Voucher, increase </w:t>
            </w:r>
            <w:r w:rsidR="00CA5974">
              <w:t>number of vouchers for companies that availed of the voucher under the climate enterprise action fund</w:t>
            </w:r>
            <w:r w:rsidR="00BA7048">
              <w:t>,</w:t>
            </w:r>
            <w:r w:rsidR="00881E87">
              <w:t xml:space="preserve"> delete </w:t>
            </w:r>
            <w:proofErr w:type="spellStart"/>
            <w:r w:rsidR="00881E87">
              <w:t>GreenStart</w:t>
            </w:r>
            <w:proofErr w:type="spellEnd"/>
            <w:r w:rsidR="00881E87">
              <w:t xml:space="preserve"> and signpost to Access Advice </w:t>
            </w:r>
            <w:r w:rsidR="009540D3">
              <w:t>–</w:t>
            </w:r>
            <w:r w:rsidR="00881E87">
              <w:t xml:space="preserve"> </w:t>
            </w:r>
            <w:proofErr w:type="spellStart"/>
            <w:r w:rsidR="00881E87">
              <w:t>GreenStart</w:t>
            </w:r>
            <w:proofErr w:type="spellEnd"/>
          </w:p>
        </w:tc>
      </w:tr>
    </w:tbl>
    <w:p w14:paraId="22608556" w14:textId="77777777" w:rsidR="00971CB9" w:rsidRPr="00971CB9" w:rsidRDefault="00971CB9" w:rsidP="00DC4BF5">
      <w:pPr>
        <w:keepNext/>
        <w:keepLines/>
        <w:spacing w:before="240" w:after="0"/>
        <w:outlineLvl w:val="0"/>
        <w:rPr>
          <w:rFonts w:asciiTheme="majorHAnsi" w:eastAsiaTheme="majorEastAsia" w:hAnsiTheme="majorHAnsi" w:cstheme="majorBidi"/>
          <w:color w:val="2F5496" w:themeColor="accent1" w:themeShade="BF"/>
          <w:sz w:val="32"/>
          <w:szCs w:val="32"/>
          <w:lang w:val="en-US"/>
        </w:rPr>
      </w:pPr>
      <w:r w:rsidRPr="00971CB9">
        <w:rPr>
          <w:rFonts w:asciiTheme="majorHAnsi" w:eastAsiaTheme="majorEastAsia" w:hAnsiTheme="majorHAnsi" w:cstheme="majorBidi"/>
          <w:color w:val="2F5496" w:themeColor="accent1" w:themeShade="BF"/>
          <w:sz w:val="32"/>
          <w:szCs w:val="32"/>
          <w:lang w:val="en-US"/>
        </w:rPr>
        <w:t>Introduction</w:t>
      </w:r>
    </w:p>
    <w:p w14:paraId="5263F1BB" w14:textId="3DDF1A86" w:rsidR="00EE75E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Background</w:t>
      </w:r>
    </w:p>
    <w:p w14:paraId="3E54A59D" w14:textId="77777777" w:rsidR="00971CB9" w:rsidRPr="00971CB9" w:rsidRDefault="00971CB9" w:rsidP="00971CB9">
      <w:pPr>
        <w:rPr>
          <w:lang w:val="en-US"/>
        </w:rPr>
      </w:pPr>
      <w:r w:rsidRPr="00971CB9">
        <w:rPr>
          <w:lang w:val="en-US"/>
        </w:rPr>
        <w:t>The objective of the Green Offer is to help prepare companies for the low carbon, more resource efficient economy of the future whether a company is starting out on their green transformation journey or have already started. Scientific evidence shows that we must act now to limit global warming to 1.5°C to avoid the catastrophic consequences of climate change. This translates to halving greenhouse gas emissions every decade starting now to achieve net-zero emissions by 2050.</w:t>
      </w:r>
    </w:p>
    <w:p w14:paraId="50625911" w14:textId="77777777" w:rsidR="00971CB9" w:rsidRPr="00971CB9" w:rsidRDefault="00971CB9" w:rsidP="00971CB9">
      <w:pPr>
        <w:rPr>
          <w:rFonts w:cstheme="minorHAnsi"/>
          <w:lang w:val="en-US"/>
        </w:rPr>
      </w:pPr>
      <w:r w:rsidRPr="00971CB9">
        <w:rPr>
          <w:rFonts w:cstheme="minorHAnsi"/>
          <w:lang w:val="en-US"/>
        </w:rPr>
        <w:t xml:space="preserve">The Green Offer is a grant which seeks to increase the agility and resilience of client companies to climate change impacts through the development of the capability of staff. </w:t>
      </w:r>
    </w:p>
    <w:p w14:paraId="67FFC3A1" w14:textId="77777777" w:rsidR="00971CB9" w:rsidRPr="00971CB9" w:rsidRDefault="00971CB9" w:rsidP="00971CB9">
      <w:pPr>
        <w:rPr>
          <w:rFonts w:cstheme="minorHAnsi"/>
          <w:lang w:val="en-US"/>
        </w:rPr>
      </w:pPr>
      <w:r w:rsidRPr="00971CB9">
        <w:rPr>
          <w:rFonts w:cstheme="minorHAnsi"/>
          <w:lang w:val="en-US"/>
        </w:rPr>
        <w:t xml:space="preserve">Better environmental performance leads to improved resource efficiency and direct cost savings and can also increase access to customers who are demanding more environmentally friendly products and services. </w:t>
      </w:r>
    </w:p>
    <w:p w14:paraId="5A00EB40" w14:textId="77777777" w:rsidR="00971CB9" w:rsidRPr="00971CB9" w:rsidRDefault="00971CB9" w:rsidP="00971CB9">
      <w:pPr>
        <w:rPr>
          <w:lang w:val="en-US"/>
        </w:rPr>
      </w:pPr>
      <w:r w:rsidRPr="00971CB9">
        <w:rPr>
          <w:lang w:val="en-US"/>
        </w:rPr>
        <w:t>Environmental best practice, resource management and embracing the Circular Economy will enable organizations to decrease greenhouse gas emissions, reduce costs, and improve performance.</w:t>
      </w:r>
    </w:p>
    <w:p w14:paraId="704DE870" w14:textId="77777777" w:rsidR="00971CB9" w:rsidRPr="00971CB9" w:rsidRDefault="00971CB9" w:rsidP="00971CB9">
      <w:pPr>
        <w:rPr>
          <w:lang w:val="en-US"/>
        </w:rPr>
      </w:pPr>
      <w:r w:rsidRPr="00971CB9">
        <w:rPr>
          <w:lang w:val="en-US"/>
        </w:rPr>
        <w:t>Environmental sustainability should be integrated into all key business processes (e.g. strategy, supply chain management, operations, product development) and roles (e.g. finance, marketing, purchasing and customer service).</w:t>
      </w:r>
    </w:p>
    <w:p w14:paraId="77DB09FE" w14:textId="4197C392" w:rsidR="00971CB9" w:rsidRPr="00971CB9" w:rsidRDefault="00971CB9" w:rsidP="00971CB9">
      <w:pPr>
        <w:rPr>
          <w:rFonts w:cstheme="minorHAnsi"/>
          <w:lang w:val="en-US"/>
        </w:rPr>
      </w:pPr>
      <w:bookmarkStart w:id="1" w:name="_Hlk100328541"/>
      <w:r w:rsidRPr="00971CB9">
        <w:rPr>
          <w:rFonts w:cstheme="minorHAnsi"/>
          <w:lang w:val="en-US"/>
        </w:rPr>
        <w:t>The Green Offer includes the following assis</w:t>
      </w:r>
      <w:r w:rsidR="004736C9">
        <w:rPr>
          <w:rFonts w:cstheme="minorHAnsi"/>
          <w:lang w:val="en-US"/>
        </w:rPr>
        <w:t>t</w:t>
      </w:r>
      <w:r w:rsidRPr="00971CB9">
        <w:rPr>
          <w:rFonts w:cstheme="minorHAnsi"/>
          <w:lang w:val="en-US"/>
        </w:rPr>
        <w:t>ance:</w:t>
      </w:r>
    </w:p>
    <w:p w14:paraId="291B5879" w14:textId="77777777" w:rsidR="00971CB9" w:rsidRPr="00971CB9" w:rsidRDefault="00971CB9" w:rsidP="00971CB9">
      <w:pPr>
        <w:numPr>
          <w:ilvl w:val="0"/>
          <w:numId w:val="16"/>
        </w:numPr>
        <w:contextualSpacing/>
        <w:rPr>
          <w:rFonts w:ascii="Calibri" w:hAnsi="Calibri" w:cstheme="minorHAnsi"/>
        </w:rPr>
      </w:pPr>
      <w:r w:rsidRPr="00971CB9">
        <w:rPr>
          <w:rFonts w:ascii="Calibri" w:hAnsi="Calibri" w:cstheme="minorHAnsi"/>
        </w:rPr>
        <w:t>Climate Action Voucher</w:t>
      </w:r>
    </w:p>
    <w:p w14:paraId="191DF5E6" w14:textId="77777777" w:rsidR="00971CB9" w:rsidRPr="00971CB9" w:rsidRDefault="00971CB9" w:rsidP="00971CB9">
      <w:pPr>
        <w:numPr>
          <w:ilvl w:val="0"/>
          <w:numId w:val="16"/>
        </w:numPr>
        <w:contextualSpacing/>
        <w:rPr>
          <w:rFonts w:ascii="Calibri" w:hAnsi="Calibri" w:cstheme="minorHAnsi"/>
        </w:rPr>
      </w:pPr>
      <w:r w:rsidRPr="00971CB9">
        <w:rPr>
          <w:rFonts w:ascii="Calibri" w:hAnsi="Calibri" w:cstheme="minorHAnsi"/>
        </w:rPr>
        <w:t>GreenStart</w:t>
      </w:r>
    </w:p>
    <w:p w14:paraId="2D6F2729" w14:textId="77777777" w:rsidR="00971CB9" w:rsidRPr="00971CB9" w:rsidRDefault="00971CB9" w:rsidP="00971CB9">
      <w:pPr>
        <w:numPr>
          <w:ilvl w:val="0"/>
          <w:numId w:val="16"/>
        </w:numPr>
        <w:contextualSpacing/>
        <w:rPr>
          <w:rFonts w:ascii="Calibri" w:hAnsi="Calibri" w:cstheme="minorHAnsi"/>
        </w:rPr>
      </w:pPr>
      <w:r w:rsidRPr="00971CB9">
        <w:rPr>
          <w:rFonts w:ascii="Calibri" w:hAnsi="Calibri" w:cstheme="minorHAnsi"/>
        </w:rPr>
        <w:t xml:space="preserve">GreenPlus  </w:t>
      </w:r>
    </w:p>
    <w:p w14:paraId="1C3E28FD" w14:textId="7B13B680" w:rsidR="00971CB9" w:rsidRDefault="00971CB9" w:rsidP="00193640">
      <w:pPr>
        <w:spacing w:after="0" w:line="240" w:lineRule="auto"/>
        <w:rPr>
          <w:rFonts w:ascii="Calibri" w:hAnsi="Calibri" w:cstheme="minorHAnsi"/>
        </w:rPr>
      </w:pPr>
    </w:p>
    <w:p w14:paraId="4451F3DB" w14:textId="4D00386B" w:rsidR="00193640" w:rsidRDefault="00193640" w:rsidP="00193640">
      <w:pPr>
        <w:rPr>
          <w:rFonts w:eastAsiaTheme="minorEastAsia"/>
          <w:lang w:val="en-GB"/>
        </w:rPr>
      </w:pPr>
      <w:r w:rsidRPr="00193640">
        <w:rPr>
          <w:rFonts w:cstheme="minorHAnsi"/>
        </w:rPr>
        <w:t>For the period 2022-</w:t>
      </w:r>
      <w:r w:rsidRPr="0028403F">
        <w:rPr>
          <w:rFonts w:cstheme="minorHAnsi"/>
        </w:rPr>
        <w:t>2026 (</w:t>
      </w:r>
      <w:r w:rsidR="000F512C" w:rsidRPr="0028403F">
        <w:rPr>
          <w:rFonts w:cstheme="minorHAnsi"/>
        </w:rPr>
        <w:t>applications approved by</w:t>
      </w:r>
      <w:r w:rsidR="003C376B" w:rsidRPr="0028403F">
        <w:rPr>
          <w:rFonts w:cstheme="minorHAnsi"/>
        </w:rPr>
        <w:t xml:space="preserve"> </w:t>
      </w:r>
      <w:r w:rsidR="003903E4" w:rsidRPr="0028403F">
        <w:rPr>
          <w:rFonts w:cstheme="minorHAnsi"/>
        </w:rPr>
        <w:t>30 September</w:t>
      </w:r>
      <w:r w:rsidRPr="0028403F">
        <w:rPr>
          <w:rFonts w:cstheme="minorHAnsi"/>
        </w:rPr>
        <w:t xml:space="preserve"> 2026), the</w:t>
      </w:r>
      <w:r w:rsidRPr="00193640">
        <w:rPr>
          <w:rFonts w:cstheme="minorHAnsi"/>
        </w:rPr>
        <w:t xml:space="preserve"> green offers – Climate Action Voucher, Green Start, and Green Plus - will be funded through the Climate Enterprise Action Fund. The Climate Enterprise Action Fund is a €25m fund, which is operating under Ireland’s National Recovery and Resilience Plan (NRRP) (2021-2026)</w:t>
      </w:r>
      <w:r w:rsidRPr="00193640">
        <w:rPr>
          <w:rStyle w:val="FootnoteReference"/>
          <w:rFonts w:cstheme="minorHAnsi"/>
        </w:rPr>
        <w:footnoteReference w:id="2"/>
      </w:r>
      <w:r w:rsidRPr="00193640">
        <w:rPr>
          <w:rFonts w:cstheme="minorHAnsi"/>
        </w:rPr>
        <w:t>, and funded through the EU’s Recovery and Resilience Facility.</w:t>
      </w:r>
      <w:r w:rsidRPr="00552AB3">
        <w:rPr>
          <w:rFonts w:cstheme="minorHAnsi"/>
        </w:rPr>
        <w:t xml:space="preserve"> </w:t>
      </w:r>
      <w:r w:rsidR="005D25F2" w:rsidRPr="009C5E18">
        <w:rPr>
          <w:rFonts w:eastAsiaTheme="minorEastAsia"/>
        </w:rPr>
        <w:t>T</w:t>
      </w:r>
      <w:r w:rsidR="005D25F2" w:rsidRPr="009C5E18">
        <w:rPr>
          <w:rFonts w:eastAsiaTheme="minorEastAsia"/>
          <w:lang w:val="en-GB"/>
        </w:rPr>
        <w:t>he</w:t>
      </w:r>
      <w:r w:rsidR="00AE0A49" w:rsidRPr="009C5E18">
        <w:rPr>
          <w:rFonts w:eastAsiaTheme="minorEastAsia"/>
          <w:lang w:val="en-GB"/>
        </w:rPr>
        <w:t xml:space="preserve"> Climate Enterprise Action</w:t>
      </w:r>
      <w:r w:rsidR="005D25F2" w:rsidRPr="009C5E18">
        <w:rPr>
          <w:rFonts w:eastAsiaTheme="minorEastAsia"/>
          <w:lang w:val="en-GB"/>
        </w:rPr>
        <w:t xml:space="preserve"> fund will hereafter be referred to as the</w:t>
      </w:r>
      <w:r w:rsidR="005D25F2" w:rsidRPr="009C5E18">
        <w:t xml:space="preserve"> </w:t>
      </w:r>
      <w:r w:rsidR="005D25F2" w:rsidRPr="009C5E18">
        <w:rPr>
          <w:rFonts w:eastAsiaTheme="minorEastAsia"/>
          <w:lang w:val="en-GB"/>
        </w:rPr>
        <w:t>Climate Planning Fund for Business.</w:t>
      </w:r>
    </w:p>
    <w:p w14:paraId="4214E5CD" w14:textId="02030343" w:rsidR="00DC4BF5" w:rsidRPr="00DC4BF5" w:rsidRDefault="00DC4BF5" w:rsidP="00DC4BF5">
      <w:pPr>
        <w:keepNext/>
        <w:keepLines/>
        <w:spacing w:before="240" w:after="0"/>
        <w:outlineLvl w:val="0"/>
        <w:rPr>
          <w:rFonts w:asciiTheme="majorHAnsi" w:eastAsiaTheme="majorEastAsia" w:hAnsiTheme="majorHAnsi" w:cstheme="majorBidi"/>
          <w:color w:val="2F5496" w:themeColor="accent1" w:themeShade="BF"/>
          <w:sz w:val="32"/>
          <w:szCs w:val="32"/>
          <w:lang w:val="en-US"/>
        </w:rPr>
      </w:pPr>
      <w:r w:rsidRPr="00DC4BF5">
        <w:rPr>
          <w:rFonts w:asciiTheme="majorHAnsi" w:eastAsiaTheme="majorEastAsia" w:hAnsiTheme="majorHAnsi" w:cstheme="majorBidi"/>
          <w:color w:val="2F5496" w:themeColor="accent1" w:themeShade="BF"/>
          <w:sz w:val="32"/>
          <w:szCs w:val="32"/>
          <w:lang w:val="en-US"/>
        </w:rPr>
        <w:lastRenderedPageBreak/>
        <w:t>Climate Action Voucher</w:t>
      </w:r>
    </w:p>
    <w:p w14:paraId="33022E2B" w14:textId="04FC1318" w:rsidR="00193640" w:rsidRPr="007916A0" w:rsidRDefault="00DC4BF5" w:rsidP="00193640">
      <w:pPr>
        <w:spacing w:line="22" w:lineRule="atLeast"/>
      </w:pPr>
      <w:r>
        <w:t>T</w:t>
      </w:r>
      <w:r w:rsidR="00193640" w:rsidRPr="007916A0">
        <w:t xml:space="preserve">he Climate Voucher is a </w:t>
      </w:r>
      <w:r w:rsidR="00193640" w:rsidRPr="00164EF8">
        <w:t>technical and/</w:t>
      </w:r>
      <w:r w:rsidR="008B2E74">
        <w:t xml:space="preserve"> training/</w:t>
      </w:r>
      <w:r w:rsidR="00193640" w:rsidRPr="007916A0">
        <w:t xml:space="preserve">advisory project </w:t>
      </w:r>
      <w:r w:rsidR="00D4021B" w:rsidRPr="00D4021B">
        <w:t xml:space="preserve">carried out by </w:t>
      </w:r>
      <w:r w:rsidR="00277BAA">
        <w:t xml:space="preserve">an </w:t>
      </w:r>
      <w:r w:rsidR="00D4021B" w:rsidRPr="00D4021B">
        <w:t>approved external Service Provider with an eligible company</w:t>
      </w:r>
      <w:r w:rsidR="00D4021B">
        <w:t xml:space="preserve">, </w:t>
      </w:r>
      <w:r w:rsidR="0054644F">
        <w:t xml:space="preserve">or a </w:t>
      </w:r>
      <w:r w:rsidR="00D4021B" w:rsidRPr="00D4021B">
        <w:t>specialised external course</w:t>
      </w:r>
      <w:r w:rsidR="001730B8" w:rsidRPr="0028403F">
        <w:t>/e-learning</w:t>
      </w:r>
      <w:r w:rsidR="009037B6" w:rsidRPr="0028403F">
        <w:t>/</w:t>
      </w:r>
      <w:proofErr w:type="spellStart"/>
      <w:r w:rsidR="009037B6" w:rsidRPr="0028403F">
        <w:t>healthcheck</w:t>
      </w:r>
      <w:proofErr w:type="spellEnd"/>
      <w:r w:rsidR="005A0233" w:rsidRPr="0028403F">
        <w:t>/benchmark</w:t>
      </w:r>
      <w:r w:rsidR="00D4021B" w:rsidRPr="0028403F">
        <w:t>.</w:t>
      </w:r>
    </w:p>
    <w:p w14:paraId="75B1FAF0" w14:textId="3483769C" w:rsidR="00193640" w:rsidRPr="007916A0" w:rsidRDefault="00193640" w:rsidP="00193640">
      <w:pPr>
        <w:rPr>
          <w:rFonts w:eastAsiaTheme="minorEastAsia"/>
          <w:color w:val="000000" w:themeColor="text1"/>
        </w:rPr>
      </w:pPr>
      <w:r w:rsidRPr="007916A0">
        <w:t xml:space="preserve">Eligible Projects </w:t>
      </w:r>
      <w:r w:rsidR="008307A0">
        <w:t xml:space="preserve">should </w:t>
      </w:r>
      <w:r w:rsidRPr="007916A0">
        <w:t xml:space="preserve">include </w:t>
      </w:r>
      <w:r w:rsidR="008159C3">
        <w:t>developing</w:t>
      </w:r>
      <w:r w:rsidRPr="007916A0">
        <w:t xml:space="preserve"> a sustainability/decarbonisation/circular economy action plan</w:t>
      </w:r>
      <w:r w:rsidR="00F4024D">
        <w:t xml:space="preserve"> or carrying out a health</w:t>
      </w:r>
      <w:r w:rsidR="00E700F7">
        <w:t xml:space="preserve"> </w:t>
      </w:r>
      <w:r w:rsidR="00F4024D">
        <w:t>check/benchmarkin</w:t>
      </w:r>
      <w:r w:rsidR="001F725C">
        <w:t xml:space="preserve">g </w:t>
      </w:r>
      <w:r w:rsidR="008159C3">
        <w:t>assessment.</w:t>
      </w:r>
    </w:p>
    <w:p w14:paraId="47F4C8CA" w14:textId="77777777" w:rsidR="00193640" w:rsidRPr="007916A0" w:rsidRDefault="00193640" w:rsidP="00193640">
      <w:pPr>
        <w:rPr>
          <w:rFonts w:eastAsiaTheme="minorEastAsia"/>
          <w:color w:val="000000" w:themeColor="text1"/>
        </w:rPr>
      </w:pPr>
      <w:r w:rsidRPr="007916A0">
        <w:rPr>
          <w:rFonts w:eastAsiaTheme="minorEastAsia"/>
          <w:color w:val="000000" w:themeColor="text1"/>
        </w:rPr>
        <w:t>It is expected that this support will be delivered onsite and/or online depending on the focus of the project.</w:t>
      </w:r>
    </w:p>
    <w:p w14:paraId="1FAA5A10" w14:textId="5274DEDC" w:rsidR="00971CB9" w:rsidRPr="00971CB9" w:rsidRDefault="00F602AA" w:rsidP="00971CB9">
      <w:r w:rsidRPr="0028403F">
        <w:t>Training/</w:t>
      </w:r>
      <w:r w:rsidR="00193640" w:rsidRPr="0028403F">
        <w:t>technical advice and guidance</w:t>
      </w:r>
      <w:r w:rsidRPr="0028403F">
        <w:t xml:space="preserve"> will be provided</w:t>
      </w:r>
      <w:r w:rsidR="00193640" w:rsidRPr="0028403F">
        <w:t xml:space="preserve"> to</w:t>
      </w:r>
      <w:r w:rsidR="00193640" w:rsidRPr="007916A0">
        <w:t xml:space="preserve"> the company green project team on</w:t>
      </w:r>
      <w:r w:rsidR="00193640" w:rsidRPr="007916A0">
        <w:rPr>
          <w:b/>
          <w:bCs/>
        </w:rPr>
        <w:t xml:space="preserve"> one or both activities </w:t>
      </w:r>
      <w:r w:rsidR="00193640" w:rsidRPr="007916A0">
        <w:t>as outlined in the table below.</w:t>
      </w:r>
      <w:bookmarkEnd w:id="1"/>
    </w:p>
    <w:tbl>
      <w:tblPr>
        <w:tblStyle w:val="GridTable1Light-Accent11"/>
        <w:tblW w:w="10065" w:type="dxa"/>
        <w:tblLayout w:type="fixed"/>
        <w:tblLook w:val="06A0" w:firstRow="1" w:lastRow="0" w:firstColumn="1" w:lastColumn="0" w:noHBand="1" w:noVBand="1"/>
      </w:tblPr>
      <w:tblGrid>
        <w:gridCol w:w="1843"/>
        <w:gridCol w:w="8222"/>
      </w:tblGrid>
      <w:tr w:rsidR="00971CB9" w:rsidRPr="00971CB9" w14:paraId="5D04C29C" w14:textId="77777777" w:rsidTr="00B53B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654DDCAB" w14:textId="08276597" w:rsidR="00971CB9" w:rsidRPr="00971CB9" w:rsidRDefault="00D141E1" w:rsidP="00971CB9">
            <w:r>
              <w:t>Project</w:t>
            </w:r>
          </w:p>
        </w:tc>
        <w:tc>
          <w:tcPr>
            <w:tcW w:w="8222" w:type="dxa"/>
          </w:tcPr>
          <w:p w14:paraId="7717898C" w14:textId="17CDC473" w:rsidR="00971CB9" w:rsidRPr="00971CB9" w:rsidRDefault="00624C11" w:rsidP="00971CB9">
            <w:pPr>
              <w:cnfStyle w:val="100000000000" w:firstRow="1" w:lastRow="0" w:firstColumn="0" w:lastColumn="0" w:oddVBand="0" w:evenVBand="0" w:oddHBand="0" w:evenHBand="0" w:firstRowFirstColumn="0" w:firstRowLastColumn="0" w:lastRowFirstColumn="0" w:lastRowLastColumn="0"/>
            </w:pPr>
            <w:r>
              <w:t>Eligible Activities</w:t>
            </w:r>
          </w:p>
        </w:tc>
      </w:tr>
      <w:tr w:rsidR="00971CB9" w:rsidRPr="00971CB9" w14:paraId="46CE91F7" w14:textId="77777777" w:rsidTr="00B53BE6">
        <w:tc>
          <w:tcPr>
            <w:cnfStyle w:val="001000000000" w:firstRow="0" w:lastRow="0" w:firstColumn="1" w:lastColumn="0" w:oddVBand="0" w:evenVBand="0" w:oddHBand="0" w:evenHBand="0" w:firstRowFirstColumn="0" w:firstRowLastColumn="0" w:lastRowFirstColumn="0" w:lastRowLastColumn="0"/>
            <w:tcW w:w="1843" w:type="dxa"/>
          </w:tcPr>
          <w:p w14:paraId="58E0F19A" w14:textId="77777777" w:rsidR="001F032A" w:rsidRDefault="00971CB9" w:rsidP="00971CB9">
            <w:pPr>
              <w:rPr>
                <w:b w:val="0"/>
                <w:bCs w:val="0"/>
              </w:rPr>
            </w:pPr>
            <w:r w:rsidRPr="00971CB9">
              <w:t>Develop a Sustainability</w:t>
            </w:r>
            <w:r w:rsidR="00275A4C">
              <w:t>/</w:t>
            </w:r>
          </w:p>
          <w:p w14:paraId="1AAAB32A" w14:textId="085FA8F2" w:rsidR="00971CB9" w:rsidRPr="00971CB9" w:rsidRDefault="00275A4C" w:rsidP="00971CB9">
            <w:proofErr w:type="spellStart"/>
            <w:r>
              <w:t>Decarbonisation</w:t>
            </w:r>
            <w:proofErr w:type="spellEnd"/>
            <w:r w:rsidR="00971CB9" w:rsidRPr="00971CB9">
              <w:t xml:space="preserve"> Action Plan</w:t>
            </w:r>
          </w:p>
        </w:tc>
        <w:tc>
          <w:tcPr>
            <w:tcW w:w="8222" w:type="dxa"/>
          </w:tcPr>
          <w:p w14:paraId="21A81997" w14:textId="0070C8F5" w:rsidR="00971CB9" w:rsidRPr="00971CB9" w:rsidRDefault="00971CB9" w:rsidP="00971CB9">
            <w:pPr>
              <w:cnfStyle w:val="000000000000" w:firstRow="0" w:lastRow="0" w:firstColumn="0" w:lastColumn="0" w:oddVBand="0" w:evenVBand="0" w:oddHBand="0" w:evenHBand="0" w:firstRowFirstColumn="0" w:firstRowLastColumn="0" w:lastRowFirstColumn="0" w:lastRowLastColumn="0"/>
            </w:pPr>
            <w:r w:rsidRPr="00971CB9">
              <w:t>Develop a sustainability/</w:t>
            </w:r>
            <w:proofErr w:type="spellStart"/>
            <w:r w:rsidRPr="00971CB9">
              <w:t>decarbonisation</w:t>
            </w:r>
            <w:proofErr w:type="spellEnd"/>
            <w:r w:rsidRPr="00971CB9">
              <w:t xml:space="preserve"> strategy</w:t>
            </w:r>
            <w:r w:rsidR="00B82138">
              <w:t>, policy</w:t>
            </w:r>
            <w:r w:rsidRPr="00971CB9">
              <w:t xml:space="preserve"> and action plan.</w:t>
            </w:r>
          </w:p>
          <w:p w14:paraId="48EA8CB2" w14:textId="77777777" w:rsidR="00971CB9" w:rsidRPr="00971CB9" w:rsidRDefault="00971CB9" w:rsidP="00971CB9">
            <w:pPr>
              <w:ind w:right="-850"/>
              <w:cnfStyle w:val="000000000000" w:firstRow="0" w:lastRow="0" w:firstColumn="0" w:lastColumn="0" w:oddVBand="0" w:evenVBand="0" w:oddHBand="0" w:evenHBand="0" w:firstRowFirstColumn="0" w:firstRowLastColumn="0" w:lastRowFirstColumn="0" w:lastRowLastColumn="0"/>
            </w:pPr>
            <w:r w:rsidRPr="00971CB9">
              <w:t>Guidance on setting appropriate sustainability performance measures, KPIs and targets.</w:t>
            </w:r>
          </w:p>
          <w:p w14:paraId="69247682" w14:textId="77777777" w:rsidR="00971CB9" w:rsidRPr="00971CB9" w:rsidRDefault="00971CB9" w:rsidP="00971CB9">
            <w:pPr>
              <w:cnfStyle w:val="000000000000" w:firstRow="0" w:lastRow="0" w:firstColumn="0" w:lastColumn="0" w:oddVBand="0" w:evenVBand="0" w:oddHBand="0" w:evenHBand="0" w:firstRowFirstColumn="0" w:firstRowLastColumn="0" w:lastRowFirstColumn="0" w:lastRowLastColumn="0"/>
            </w:pPr>
            <w:r w:rsidRPr="00971CB9">
              <w:t>Guidance with alignment to suitable reporting and industry frameworks.</w:t>
            </w:r>
          </w:p>
          <w:p w14:paraId="44358C0A" w14:textId="77777777" w:rsidR="00971CB9" w:rsidRDefault="00971CB9" w:rsidP="00971CB9">
            <w:pPr>
              <w:cnfStyle w:val="000000000000" w:firstRow="0" w:lastRow="0" w:firstColumn="0" w:lastColumn="0" w:oddVBand="0" w:evenVBand="0" w:oddHBand="0" w:evenHBand="0" w:firstRowFirstColumn="0" w:firstRowLastColumn="0" w:lastRowFirstColumn="0" w:lastRowLastColumn="0"/>
            </w:pPr>
            <w:r w:rsidRPr="00971CB9">
              <w:t>Guidance on data collection and calculating carbon footprint.</w:t>
            </w:r>
          </w:p>
          <w:p w14:paraId="36E33E02" w14:textId="1D76CEA9" w:rsidR="001F725C" w:rsidRPr="00971CB9" w:rsidRDefault="001F725C" w:rsidP="00971CB9">
            <w:pPr>
              <w:cnfStyle w:val="000000000000" w:firstRow="0" w:lastRow="0" w:firstColumn="0" w:lastColumn="0" w:oddVBand="0" w:evenVBand="0" w:oddHBand="0" w:evenHBand="0" w:firstRowFirstColumn="0" w:firstRowLastColumn="0" w:lastRowFirstColumn="0" w:lastRowLastColumn="0"/>
            </w:pPr>
            <w:r w:rsidRPr="001F725C">
              <w:t>Carry out a health</w:t>
            </w:r>
            <w:r w:rsidR="00FA14A1">
              <w:t xml:space="preserve"> </w:t>
            </w:r>
            <w:r w:rsidRPr="001F725C">
              <w:t>check</w:t>
            </w:r>
            <w:r w:rsidR="0010278B">
              <w:t xml:space="preserve"> / baseline review</w:t>
            </w:r>
            <w:r w:rsidRPr="001F725C">
              <w:t xml:space="preserve"> / benchmarking assessment</w:t>
            </w:r>
          </w:p>
        </w:tc>
      </w:tr>
      <w:tr w:rsidR="00971CB9" w:rsidRPr="00971CB9" w14:paraId="0E5EDBFB" w14:textId="77777777" w:rsidTr="00B53BE6">
        <w:tc>
          <w:tcPr>
            <w:cnfStyle w:val="001000000000" w:firstRow="0" w:lastRow="0" w:firstColumn="1" w:lastColumn="0" w:oddVBand="0" w:evenVBand="0" w:oddHBand="0" w:evenHBand="0" w:firstRowFirstColumn="0" w:firstRowLastColumn="0" w:lastRowFirstColumn="0" w:lastRowLastColumn="0"/>
            <w:tcW w:w="1843" w:type="dxa"/>
          </w:tcPr>
          <w:p w14:paraId="7DC29641" w14:textId="77777777" w:rsidR="00971CB9" w:rsidRPr="00971CB9" w:rsidRDefault="00971CB9" w:rsidP="00971CB9">
            <w:r w:rsidRPr="00971CB9">
              <w:t>Develop a Circular Economy Action Plan</w:t>
            </w:r>
          </w:p>
        </w:tc>
        <w:tc>
          <w:tcPr>
            <w:tcW w:w="8222" w:type="dxa"/>
          </w:tcPr>
          <w:p w14:paraId="2D0B408A" w14:textId="77777777" w:rsidR="00971CB9" w:rsidRPr="00971CB9" w:rsidRDefault="00971CB9" w:rsidP="00971CB9">
            <w:pPr>
              <w:cnfStyle w:val="000000000000" w:firstRow="0" w:lastRow="0" w:firstColumn="0" w:lastColumn="0" w:oddVBand="0" w:evenVBand="0" w:oddHBand="0" w:evenHBand="0" w:firstRowFirstColumn="0" w:firstRowLastColumn="0" w:lastRowFirstColumn="0" w:lastRowLastColumn="0"/>
            </w:pPr>
            <w:r w:rsidRPr="00971CB9">
              <w:t>Understand the relevance of circular economy and innovation to your business.</w:t>
            </w:r>
          </w:p>
          <w:p w14:paraId="23B7AA9A" w14:textId="77777777" w:rsidR="00971CB9" w:rsidRPr="00971CB9" w:rsidRDefault="00971CB9" w:rsidP="00971CB9">
            <w:pPr>
              <w:cnfStyle w:val="000000000000" w:firstRow="0" w:lastRow="0" w:firstColumn="0" w:lastColumn="0" w:oddVBand="0" w:evenVBand="0" w:oddHBand="0" w:evenHBand="0" w:firstRowFirstColumn="0" w:firstRowLastColumn="0" w:lastRowFirstColumn="0" w:lastRowLastColumn="0"/>
            </w:pPr>
            <w:r w:rsidRPr="00971CB9">
              <w:t>Carry out a circular gap assessment.</w:t>
            </w:r>
          </w:p>
          <w:p w14:paraId="58189FD3" w14:textId="77777777" w:rsidR="00971CB9" w:rsidRPr="00971CB9" w:rsidRDefault="00971CB9" w:rsidP="00971CB9">
            <w:pPr>
              <w:cnfStyle w:val="000000000000" w:firstRow="0" w:lastRow="0" w:firstColumn="0" w:lastColumn="0" w:oddVBand="0" w:evenVBand="0" w:oddHBand="0" w:evenHBand="0" w:firstRowFirstColumn="0" w:firstRowLastColumn="0" w:lastRowFirstColumn="0" w:lastRowLastColumn="0"/>
            </w:pPr>
            <w:r w:rsidRPr="00971CB9">
              <w:t xml:space="preserve">Identify new opportunities for sustainable growth.             </w:t>
            </w:r>
          </w:p>
          <w:p w14:paraId="43B83F3D" w14:textId="77777777" w:rsidR="00971CB9" w:rsidRPr="00971CB9" w:rsidRDefault="00971CB9" w:rsidP="00971CB9">
            <w:pPr>
              <w:cnfStyle w:val="000000000000" w:firstRow="0" w:lastRow="0" w:firstColumn="0" w:lastColumn="0" w:oddVBand="0" w:evenVBand="0" w:oddHBand="0" w:evenHBand="0" w:firstRowFirstColumn="0" w:firstRowLastColumn="0" w:lastRowFirstColumn="0" w:lastRowLastColumn="0"/>
            </w:pPr>
            <w:r w:rsidRPr="00971CB9">
              <w:t xml:space="preserve">Prepare a plan to identify and develop circular economy ideas for a more circular product, process or service. This means looking beyond the current take-make-waste linear economic model to a circular model that </w:t>
            </w:r>
            <w:proofErr w:type="spellStart"/>
            <w:r w:rsidRPr="00971CB9">
              <w:t>minimises</w:t>
            </w:r>
            <w:proofErr w:type="spellEnd"/>
            <w:r w:rsidRPr="00971CB9">
              <w:t xml:space="preserve"> waste and pollution by design, keeping products and materials in use and regenerates natural systems. </w:t>
            </w:r>
          </w:p>
        </w:tc>
      </w:tr>
    </w:tbl>
    <w:p w14:paraId="6829F756" w14:textId="77777777" w:rsidR="00971CB9" w:rsidRPr="00971CB9" w:rsidRDefault="00971CB9" w:rsidP="00971CB9">
      <w:pPr>
        <w:rPr>
          <w:lang w:val="en-US"/>
        </w:rPr>
      </w:pPr>
      <w:r w:rsidRPr="00971CB9">
        <w:rPr>
          <w:lang w:val="en-US"/>
        </w:rPr>
        <w:t xml:space="preserve">Eligible activities do not include energy audits or consultancy for design, installation or commissioning, or project implementation. </w:t>
      </w:r>
    </w:p>
    <w:p w14:paraId="2D027F33" w14:textId="77777777" w:rsidR="00971CB9" w:rsidRPr="00971CB9" w:rsidRDefault="00971CB9" w:rsidP="00971CB9">
      <w:pPr>
        <w:rPr>
          <w:lang w:val="en-US"/>
        </w:rPr>
      </w:pPr>
      <w:r w:rsidRPr="00971CB9">
        <w:rPr>
          <w:lang w:val="en-US"/>
        </w:rPr>
        <w:t xml:space="preserve">Note: SMEs with an energy spend &gt;€10,000/annum that are not already mandated to get an audit are eligible for €2000 voucher towards an </w:t>
      </w:r>
      <w:hyperlink r:id="rId12" w:history="1">
        <w:r w:rsidRPr="00971CB9">
          <w:rPr>
            <w:color w:val="0000FF"/>
            <w:lang w:val="en-US"/>
          </w:rPr>
          <w:t>SEAI Energy Audit</w:t>
        </w:r>
      </w:hyperlink>
    </w:p>
    <w:p w14:paraId="53D6A304" w14:textId="77777777" w:rsidR="00971CB9" w:rsidRPr="00971CB9" w:rsidRDefault="00971CB9" w:rsidP="00971CB9">
      <w:pPr>
        <w:rPr>
          <w:lang w:val="en-US"/>
        </w:rPr>
      </w:pPr>
      <w:r w:rsidRPr="00971CB9">
        <w:rPr>
          <w:lang w:val="en-US"/>
        </w:rPr>
        <w:t>The project scope will be developed further between the company and the service provider.</w:t>
      </w:r>
    </w:p>
    <w:p w14:paraId="6C38A1F9"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Eligible Costs</w:t>
      </w:r>
    </w:p>
    <w:tbl>
      <w:tblPr>
        <w:tblStyle w:val="GridTable1Light-Accent11"/>
        <w:tblW w:w="10319" w:type="dxa"/>
        <w:tblLook w:val="0420" w:firstRow="1" w:lastRow="0" w:firstColumn="0" w:lastColumn="0" w:noHBand="0" w:noVBand="1"/>
      </w:tblPr>
      <w:tblGrid>
        <w:gridCol w:w="2806"/>
        <w:gridCol w:w="3993"/>
        <w:gridCol w:w="3520"/>
      </w:tblGrid>
      <w:tr w:rsidR="00971CB9" w:rsidRPr="00971CB9" w14:paraId="4C848ADC" w14:textId="77777777" w:rsidTr="00B53BE6">
        <w:trPr>
          <w:cnfStyle w:val="100000000000" w:firstRow="1" w:lastRow="0" w:firstColumn="0" w:lastColumn="0" w:oddVBand="0" w:evenVBand="0" w:oddHBand="0" w:evenHBand="0" w:firstRowFirstColumn="0" w:firstRowLastColumn="0" w:lastRowFirstColumn="0" w:lastRowLastColumn="0"/>
          <w:trHeight w:val="443"/>
        </w:trPr>
        <w:tc>
          <w:tcPr>
            <w:tcW w:w="2806" w:type="dxa"/>
          </w:tcPr>
          <w:p w14:paraId="53AABF46" w14:textId="77777777" w:rsidR="00971CB9" w:rsidRPr="00971CB9" w:rsidRDefault="00971CB9" w:rsidP="00971CB9">
            <w:pPr>
              <w:spacing w:line="22" w:lineRule="atLeast"/>
            </w:pPr>
            <w:r w:rsidRPr="00971CB9">
              <w:t>Eligible Cost Elements</w:t>
            </w:r>
          </w:p>
        </w:tc>
        <w:tc>
          <w:tcPr>
            <w:tcW w:w="3993" w:type="dxa"/>
          </w:tcPr>
          <w:p w14:paraId="5878B6F8" w14:textId="77777777" w:rsidR="00971CB9" w:rsidRPr="00971CB9" w:rsidRDefault="00971CB9" w:rsidP="00971CB9">
            <w:pPr>
              <w:spacing w:line="22" w:lineRule="atLeast"/>
            </w:pPr>
            <w:r w:rsidRPr="00971CB9">
              <w:t>Eligible Costs</w:t>
            </w:r>
          </w:p>
        </w:tc>
        <w:tc>
          <w:tcPr>
            <w:tcW w:w="3520" w:type="dxa"/>
          </w:tcPr>
          <w:p w14:paraId="2A10406E" w14:textId="77777777" w:rsidR="00971CB9" w:rsidRPr="00971CB9" w:rsidRDefault="00971CB9" w:rsidP="00971CB9">
            <w:pPr>
              <w:spacing w:line="22" w:lineRule="atLeast"/>
            </w:pPr>
            <w:r w:rsidRPr="00971CB9">
              <w:t>Eligible Grant</w:t>
            </w:r>
          </w:p>
        </w:tc>
      </w:tr>
      <w:tr w:rsidR="00971CB9" w:rsidRPr="00971CB9" w14:paraId="779A26F3" w14:textId="77777777" w:rsidTr="00F77DAA">
        <w:trPr>
          <w:trHeight w:val="722"/>
        </w:trPr>
        <w:tc>
          <w:tcPr>
            <w:tcW w:w="2806" w:type="dxa"/>
          </w:tcPr>
          <w:p w14:paraId="35BE1003" w14:textId="77777777" w:rsidR="00971CB9" w:rsidRPr="0028403F" w:rsidRDefault="00971CB9" w:rsidP="00971CB9">
            <w:pPr>
              <w:spacing w:line="22" w:lineRule="atLeast"/>
            </w:pPr>
            <w:r w:rsidRPr="0028403F">
              <w:t xml:space="preserve">External Training Advisory Costs  </w:t>
            </w:r>
          </w:p>
          <w:p w14:paraId="13CFFE07" w14:textId="52393932" w:rsidR="00442482" w:rsidRPr="0028403F" w:rsidRDefault="00442482" w:rsidP="00971CB9">
            <w:pPr>
              <w:spacing w:line="22" w:lineRule="atLeast"/>
            </w:pPr>
          </w:p>
        </w:tc>
        <w:tc>
          <w:tcPr>
            <w:tcW w:w="3993" w:type="dxa"/>
          </w:tcPr>
          <w:p w14:paraId="3A36A6B3" w14:textId="21DAF017" w:rsidR="002F0745" w:rsidRPr="0028403F" w:rsidRDefault="002F0745" w:rsidP="002F0745">
            <w:pPr>
              <w:spacing w:line="22" w:lineRule="atLeast"/>
            </w:pPr>
            <w:r w:rsidRPr="0028403F">
              <w:t>Up to €1,800 in eligible expenditure.</w:t>
            </w:r>
          </w:p>
          <w:p w14:paraId="5DA5E24A" w14:textId="77777777" w:rsidR="002F0745" w:rsidRPr="0028403F" w:rsidRDefault="002F0745" w:rsidP="002F0745">
            <w:pPr>
              <w:spacing w:line="22" w:lineRule="atLeast"/>
            </w:pPr>
          </w:p>
          <w:p w14:paraId="3EEF39BC" w14:textId="043CCD6D" w:rsidR="002F0745" w:rsidRPr="0028403F" w:rsidRDefault="002F0745" w:rsidP="002F0745">
            <w:pPr>
              <w:spacing w:line="22" w:lineRule="atLeast"/>
            </w:pPr>
            <w:r w:rsidRPr="0028403F">
              <w:t xml:space="preserve">Eligible external </w:t>
            </w:r>
            <w:r w:rsidR="001941E7" w:rsidRPr="0028403F">
              <w:t>advisory</w:t>
            </w:r>
            <w:r w:rsidRPr="0028403F">
              <w:t xml:space="preserve"> costs are capped at €900 per day. Actual costs to the company are based on market rates and may be higher.</w:t>
            </w:r>
          </w:p>
          <w:p w14:paraId="1CC81B29" w14:textId="77777777" w:rsidR="00B93E51" w:rsidRPr="0028403F" w:rsidRDefault="00B93E51" w:rsidP="00971CB9">
            <w:pPr>
              <w:spacing w:line="22" w:lineRule="atLeast"/>
            </w:pPr>
          </w:p>
          <w:p w14:paraId="1F286C56" w14:textId="1290B8E9" w:rsidR="00B93E51" w:rsidRPr="0028403F" w:rsidRDefault="00B93E51" w:rsidP="00971CB9">
            <w:pPr>
              <w:spacing w:line="22" w:lineRule="atLeast"/>
            </w:pPr>
            <w:r w:rsidRPr="0028403F">
              <w:t>Training Course fees where applicable for specialised external courses that drive the project goals.</w:t>
            </w:r>
          </w:p>
          <w:p w14:paraId="0261DD22" w14:textId="77777777" w:rsidR="00313053" w:rsidRPr="0028403F" w:rsidRDefault="00313053" w:rsidP="00EF0E60"/>
          <w:p w14:paraId="3D25E51E" w14:textId="18E94729" w:rsidR="00EF0E60" w:rsidRPr="0028403F" w:rsidRDefault="0075268A" w:rsidP="002A3160">
            <w:r w:rsidRPr="0028403F">
              <w:t>C</w:t>
            </w:r>
            <w:r w:rsidR="00BB0358" w:rsidRPr="0028403F">
              <w:t xml:space="preserve">osts for the use of digital content </w:t>
            </w:r>
            <w:r w:rsidR="00697309" w:rsidRPr="0028403F">
              <w:t>for</w:t>
            </w:r>
            <w:r w:rsidR="00693C70" w:rsidRPr="0028403F">
              <w:t xml:space="preserve"> sustainability</w:t>
            </w:r>
            <w:r w:rsidR="00697309" w:rsidRPr="0028403F">
              <w:t xml:space="preserve"> e-Learning</w:t>
            </w:r>
            <w:r w:rsidR="00C95284" w:rsidRPr="0028403F">
              <w:t xml:space="preserve">, </w:t>
            </w:r>
            <w:r w:rsidR="00A959E8" w:rsidRPr="0028403F">
              <w:t>health check</w:t>
            </w:r>
            <w:r w:rsidR="007431E7" w:rsidRPr="0028403F">
              <w:t>s</w:t>
            </w:r>
            <w:r w:rsidR="00C95284" w:rsidRPr="0028403F">
              <w:t xml:space="preserve"> and </w:t>
            </w:r>
            <w:r w:rsidR="001355CE" w:rsidRPr="0028403F">
              <w:t>benchmarking</w:t>
            </w:r>
            <w:r w:rsidR="007431E7" w:rsidRPr="0028403F">
              <w:t>.</w:t>
            </w:r>
            <w:r w:rsidR="00A959E8" w:rsidRPr="0028403F">
              <w:t xml:space="preserve">  </w:t>
            </w:r>
          </w:p>
          <w:p w14:paraId="23C03C8B" w14:textId="77777777" w:rsidR="00832243" w:rsidRPr="0028403F" w:rsidRDefault="00832243" w:rsidP="00971CB9">
            <w:pPr>
              <w:spacing w:line="22" w:lineRule="atLeast"/>
            </w:pPr>
          </w:p>
          <w:p w14:paraId="1C3D9301" w14:textId="72D416F6" w:rsidR="00832243" w:rsidRPr="0028403F" w:rsidRDefault="00F77DAA" w:rsidP="00971CB9">
            <w:pPr>
              <w:spacing w:line="22" w:lineRule="atLeast"/>
            </w:pPr>
            <w:r w:rsidRPr="0028403F">
              <w:t>Actual spend by the company on the project may be higher</w:t>
            </w:r>
            <w:r w:rsidR="008614C8" w:rsidRPr="0028403F">
              <w:t>.</w:t>
            </w:r>
          </w:p>
        </w:tc>
        <w:tc>
          <w:tcPr>
            <w:tcW w:w="3520" w:type="dxa"/>
          </w:tcPr>
          <w:p w14:paraId="013D4231" w14:textId="77777777" w:rsidR="00971CB9" w:rsidRPr="00971CB9" w:rsidRDefault="00971CB9" w:rsidP="00971CB9">
            <w:pPr>
              <w:spacing w:line="22" w:lineRule="atLeast"/>
            </w:pPr>
            <w:r w:rsidRPr="00971CB9">
              <w:t xml:space="preserve">Maximum of €1,800 </w:t>
            </w:r>
          </w:p>
          <w:p w14:paraId="26210774" w14:textId="77777777" w:rsidR="00971CB9" w:rsidRPr="00971CB9" w:rsidRDefault="00971CB9" w:rsidP="00971CB9">
            <w:pPr>
              <w:spacing w:line="22" w:lineRule="atLeast"/>
            </w:pPr>
          </w:p>
          <w:p w14:paraId="5C27A2B7" w14:textId="77777777" w:rsidR="00971CB9" w:rsidRPr="00971CB9" w:rsidRDefault="00971CB9" w:rsidP="00971CB9">
            <w:pPr>
              <w:spacing w:line="22" w:lineRule="atLeast"/>
            </w:pPr>
            <w:r w:rsidRPr="00971CB9">
              <w:t>Based on a grant rate of 100% of eligible costs.</w:t>
            </w:r>
          </w:p>
        </w:tc>
      </w:tr>
    </w:tbl>
    <w:p w14:paraId="6FD51FFA" w14:textId="77777777" w:rsidR="00971CB9" w:rsidRPr="00971CB9" w:rsidRDefault="00971CB9" w:rsidP="00971CB9">
      <w:pPr>
        <w:keepNext/>
        <w:keepLines/>
        <w:spacing w:before="40" w:after="0"/>
        <w:outlineLvl w:val="1"/>
        <w:rPr>
          <w:rFonts w:ascii="Verdana" w:eastAsiaTheme="majorEastAsia" w:hAnsi="Verdana" w:cstheme="majorBidi"/>
          <w:color w:val="2F5496" w:themeColor="accent1" w:themeShade="BF"/>
          <w:sz w:val="20"/>
          <w:szCs w:val="20"/>
          <w:lang w:val="en-US"/>
        </w:rPr>
      </w:pPr>
      <w:r w:rsidRPr="00971CB9">
        <w:rPr>
          <w:rFonts w:asciiTheme="majorHAnsi" w:eastAsiaTheme="majorEastAsia" w:hAnsiTheme="majorHAnsi" w:cstheme="majorBidi"/>
          <w:color w:val="2F5496" w:themeColor="accent1" w:themeShade="BF"/>
          <w:sz w:val="26"/>
          <w:szCs w:val="26"/>
          <w:lang w:val="en-US"/>
        </w:rPr>
        <w:lastRenderedPageBreak/>
        <w:t>Eligible Companies</w:t>
      </w:r>
    </w:p>
    <w:p w14:paraId="5E38A2A5" w14:textId="542FB6DA" w:rsidR="00971CB9" w:rsidRPr="00D07512" w:rsidRDefault="00971CB9" w:rsidP="00971CB9">
      <w:pPr>
        <w:rPr>
          <w:rFonts w:ascii="Calibri" w:hAnsi="Calibri" w:cs="Calibri"/>
          <w:color w:val="000000"/>
          <w:lang w:val="en-US"/>
        </w:rPr>
      </w:pPr>
      <w:r w:rsidRPr="00D07512">
        <w:rPr>
          <w:rFonts w:cstheme="minorHAnsi"/>
          <w:lang w:val="en-US"/>
        </w:rPr>
        <w:t xml:space="preserve">Applications for a </w:t>
      </w:r>
      <w:r w:rsidRPr="00D07512">
        <w:rPr>
          <w:rFonts w:cstheme="minorHAnsi"/>
          <w:color w:val="000000"/>
          <w:lang w:val="en-US"/>
        </w:rPr>
        <w:t>voucher</w:t>
      </w:r>
      <w:r w:rsidRPr="00D07512">
        <w:rPr>
          <w:rFonts w:cstheme="minorHAnsi"/>
          <w:lang w:val="en-US"/>
        </w:rPr>
        <w:t xml:space="preserve"> are open to Manufacturing or Internationally Traded Services who a</w:t>
      </w:r>
      <w:r w:rsidRPr="00D07512">
        <w:rPr>
          <w:rFonts w:ascii="Calibri" w:hAnsi="Calibri" w:cs="Calibri"/>
          <w:color w:val="000000"/>
          <w:lang w:val="en-US"/>
        </w:rPr>
        <w:t>re existing or potential clients of Enterprise Ireland</w:t>
      </w:r>
      <w:r w:rsidR="00DA6C29" w:rsidRPr="00D07512">
        <w:rPr>
          <w:rStyle w:val="FootnoteReference"/>
          <w:rFonts w:ascii="Calibri" w:hAnsi="Calibri" w:cs="Calibri"/>
          <w:color w:val="000000"/>
          <w:lang w:val="en-US"/>
        </w:rPr>
        <w:footnoteReference w:id="3"/>
      </w:r>
      <w:r w:rsidRPr="00D07512">
        <w:rPr>
          <w:rFonts w:ascii="Calibri" w:hAnsi="Calibri" w:cs="Calibri"/>
          <w:color w:val="000000"/>
          <w:lang w:val="en-US"/>
        </w:rPr>
        <w:t xml:space="preserve"> or </w:t>
      </w:r>
      <w:proofErr w:type="spellStart"/>
      <w:r w:rsidRPr="00D07512">
        <w:rPr>
          <w:rFonts w:ascii="Calibri" w:hAnsi="Calibri" w:cs="Calibri"/>
          <w:color w:val="000000"/>
          <w:lang w:val="en-US"/>
        </w:rPr>
        <w:t>Údarás</w:t>
      </w:r>
      <w:proofErr w:type="spellEnd"/>
      <w:r w:rsidRPr="00D07512">
        <w:rPr>
          <w:rFonts w:ascii="Calibri" w:hAnsi="Calibri" w:cs="Calibri"/>
          <w:color w:val="000000"/>
          <w:lang w:val="en-US"/>
        </w:rPr>
        <w:t xml:space="preserve"> na </w:t>
      </w:r>
      <w:proofErr w:type="spellStart"/>
      <w:r w:rsidRPr="00D07512">
        <w:rPr>
          <w:rFonts w:ascii="Calibri" w:hAnsi="Calibri" w:cs="Calibri"/>
          <w:color w:val="000000"/>
          <w:lang w:val="en-US"/>
        </w:rPr>
        <w:t>Gaeltachta</w:t>
      </w:r>
      <w:proofErr w:type="spellEnd"/>
      <w:r w:rsidRPr="00D07512">
        <w:rPr>
          <w:rFonts w:ascii="Calibri" w:hAnsi="Calibri" w:cs="Calibri"/>
          <w:color w:val="000000"/>
          <w:lang w:val="en-US"/>
        </w:rPr>
        <w:t xml:space="preserve"> (HPSU, Small, Medium, or Large)</w:t>
      </w:r>
      <w:r w:rsidR="00D07512">
        <w:rPr>
          <w:rFonts w:ascii="Calibri" w:hAnsi="Calibri" w:cs="Calibri"/>
          <w:color w:val="000000"/>
          <w:lang w:val="en-US"/>
        </w:rPr>
        <w:t>.</w:t>
      </w:r>
    </w:p>
    <w:p w14:paraId="3DC47247" w14:textId="6A4A4B64" w:rsidR="00971CB9" w:rsidRDefault="00971CB9" w:rsidP="00971CB9">
      <w:pPr>
        <w:contextualSpacing/>
        <w:rPr>
          <w:rFonts w:ascii="Calibri" w:hAnsi="Calibri" w:cs="Calibri"/>
          <w:color w:val="000000"/>
          <w:lang w:val="en-US"/>
        </w:rPr>
      </w:pPr>
      <w:r w:rsidRPr="00971CB9">
        <w:rPr>
          <w:rFonts w:ascii="Calibri" w:hAnsi="Calibri" w:cs="Calibri"/>
          <w:color w:val="000000"/>
          <w:lang w:val="en-US"/>
        </w:rPr>
        <w:t xml:space="preserve">There will be a limit of one voucher per company in general, although Enterprise Ireland may offer further vouchers </w:t>
      </w:r>
      <w:r w:rsidR="00F742C9" w:rsidRPr="00683471">
        <w:t>where a company has previously availed of the Climate Action Voucher under the Climate Enterprise Action Fund (to a maximum of 2), and</w:t>
      </w:r>
      <w:r w:rsidR="00F742C9" w:rsidRPr="00847E1C">
        <w:rPr>
          <w:i/>
          <w:iCs/>
        </w:rPr>
        <w:t xml:space="preserve"> </w:t>
      </w:r>
      <w:r w:rsidRPr="00971CB9">
        <w:rPr>
          <w:rFonts w:ascii="Calibri" w:hAnsi="Calibri" w:cs="Calibri"/>
          <w:color w:val="000000"/>
          <w:lang w:val="en-US"/>
        </w:rPr>
        <w:t>where a company has more than one distinct operation/location (to a maximum of 3)</w:t>
      </w:r>
      <w:r w:rsidR="00847E1C">
        <w:rPr>
          <w:rFonts w:ascii="Calibri" w:hAnsi="Calibri" w:cs="Calibri"/>
          <w:color w:val="000000"/>
          <w:lang w:val="en-US"/>
        </w:rPr>
        <w:t>.</w:t>
      </w:r>
    </w:p>
    <w:p w14:paraId="20E7BC8B" w14:textId="77777777" w:rsidR="009C5E18" w:rsidRPr="00971CB9" w:rsidRDefault="009C5E18" w:rsidP="00971CB9">
      <w:pPr>
        <w:contextualSpacing/>
        <w:rPr>
          <w:rFonts w:cstheme="minorHAnsi"/>
          <w:i/>
          <w:color w:val="000000" w:themeColor="text1"/>
          <w:lang w:val="en-US"/>
        </w:rPr>
      </w:pPr>
    </w:p>
    <w:p w14:paraId="3460DB92"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Ineligible Companies</w:t>
      </w:r>
    </w:p>
    <w:p w14:paraId="02D43859" w14:textId="75C57ECB" w:rsidR="00971CB9" w:rsidRPr="009C5E18" w:rsidRDefault="00971CB9" w:rsidP="00971CB9">
      <w:pPr>
        <w:numPr>
          <w:ilvl w:val="0"/>
          <w:numId w:val="3"/>
        </w:numPr>
        <w:contextualSpacing/>
        <w:rPr>
          <w:rFonts w:cstheme="minorHAnsi"/>
          <w:color w:val="000000" w:themeColor="text1"/>
          <w:lang w:val="en-US"/>
        </w:rPr>
      </w:pPr>
      <w:r w:rsidRPr="00971CB9">
        <w:rPr>
          <w:rFonts w:cstheme="minorHAnsi"/>
          <w:color w:val="000000" w:themeColor="text1"/>
          <w:lang w:val="en-US"/>
        </w:rPr>
        <w:t xml:space="preserve">Clients of the Local Enterprise Offices are not eligible. LEO clients are eligible for </w:t>
      </w:r>
      <w:hyperlink r:id="rId13" w:history="1">
        <w:r w:rsidR="00EC3148">
          <w:rPr>
            <w:color w:val="0000FF"/>
            <w:u w:val="single"/>
          </w:rPr>
          <w:t>Green for Business - Local Enterprise Office</w:t>
        </w:r>
      </w:hyperlink>
    </w:p>
    <w:p w14:paraId="239E214C" w14:textId="77777777" w:rsidR="009C5E18" w:rsidRPr="00971CB9" w:rsidRDefault="009C5E18" w:rsidP="009C5E18">
      <w:pPr>
        <w:ind w:left="360"/>
        <w:contextualSpacing/>
        <w:rPr>
          <w:rFonts w:cstheme="minorHAnsi"/>
          <w:color w:val="000000" w:themeColor="text1"/>
          <w:lang w:val="en-US"/>
        </w:rPr>
      </w:pPr>
    </w:p>
    <w:p w14:paraId="22826CAD"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 xml:space="preserve">Irish Legal Basis  </w:t>
      </w:r>
    </w:p>
    <w:p w14:paraId="008FE120" w14:textId="77777777" w:rsidR="00971CB9" w:rsidRDefault="00971CB9" w:rsidP="00971CB9">
      <w:pPr>
        <w:numPr>
          <w:ilvl w:val="0"/>
          <w:numId w:val="3"/>
        </w:numPr>
        <w:contextualSpacing/>
        <w:rPr>
          <w:rFonts w:ascii="Calibri" w:hAnsi="Calibri" w:cs="Calibri"/>
        </w:rPr>
      </w:pPr>
      <w:r w:rsidRPr="00971CB9">
        <w:rPr>
          <w:rFonts w:ascii="Calibri" w:hAnsi="Calibri" w:cs="Calibri"/>
        </w:rPr>
        <w:t>Industrial Development Act 1998, Section 7 (Functions of Agency)</w:t>
      </w:r>
    </w:p>
    <w:p w14:paraId="5FF525A8" w14:textId="77777777" w:rsidR="009C5E18" w:rsidRPr="00971CB9" w:rsidRDefault="009C5E18" w:rsidP="009C5E18">
      <w:pPr>
        <w:ind w:left="360"/>
        <w:contextualSpacing/>
        <w:rPr>
          <w:rFonts w:ascii="Calibri" w:hAnsi="Calibri" w:cs="Calibri"/>
        </w:rPr>
      </w:pPr>
    </w:p>
    <w:p w14:paraId="2ABC3C8D"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 xml:space="preserve">EU State Aid Basis   </w:t>
      </w:r>
    </w:p>
    <w:p w14:paraId="0C822E1E" w14:textId="381C7FF2" w:rsidR="009C5E18" w:rsidRDefault="005219FF" w:rsidP="009C5E18">
      <w:pPr>
        <w:ind w:left="360"/>
        <w:contextualSpacing/>
        <w:rPr>
          <w:color w:val="000000"/>
        </w:rPr>
      </w:pPr>
      <w:r>
        <w:rPr>
          <w:color w:val="000000"/>
        </w:rPr>
        <w:t>Commission Regulation (EU) No 2023/2831 of 13</w:t>
      </w:r>
      <w:r>
        <w:rPr>
          <w:i/>
          <w:iCs/>
          <w:color w:val="000000"/>
        </w:rPr>
        <w:t>th</w:t>
      </w:r>
      <w:r>
        <w:rPr>
          <w:color w:val="000000"/>
        </w:rPr>
        <w:t xml:space="preserve"> of December 2023 (De Minimis Aid Regulation)</w:t>
      </w:r>
    </w:p>
    <w:p w14:paraId="067F9B41" w14:textId="77777777" w:rsidR="00B36ACA" w:rsidRPr="00971CB9" w:rsidRDefault="00B36ACA" w:rsidP="009C5E18">
      <w:pPr>
        <w:ind w:left="360"/>
        <w:contextualSpacing/>
        <w:rPr>
          <w:rFonts w:ascii="Calibri" w:hAnsi="Calibri" w:cs="Calibri"/>
        </w:rPr>
      </w:pPr>
    </w:p>
    <w:p w14:paraId="4B0B7622"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bookmarkStart w:id="3" w:name="_Hlk147757487"/>
      <w:r w:rsidRPr="00971CB9">
        <w:rPr>
          <w:rFonts w:asciiTheme="majorHAnsi" w:eastAsiaTheme="majorEastAsia" w:hAnsiTheme="majorHAnsi" w:cstheme="majorBidi"/>
          <w:color w:val="2F5496" w:themeColor="accent1" w:themeShade="BF"/>
          <w:sz w:val="26"/>
          <w:szCs w:val="26"/>
          <w:lang w:val="en-US"/>
        </w:rPr>
        <w:t>Eligible Activities</w:t>
      </w:r>
    </w:p>
    <w:bookmarkEnd w:id="3"/>
    <w:p w14:paraId="444D8EC7" w14:textId="1C817FF6" w:rsidR="006C0870" w:rsidRPr="006C0870" w:rsidRDefault="00971CB9" w:rsidP="006C0870">
      <w:pPr>
        <w:pStyle w:val="ListParagraph"/>
        <w:numPr>
          <w:ilvl w:val="0"/>
          <w:numId w:val="3"/>
        </w:numPr>
        <w:rPr>
          <w:rFonts w:ascii="Calibri" w:hAnsi="Calibri" w:cs="Calibri"/>
        </w:rPr>
      </w:pPr>
      <w:r w:rsidRPr="004B03B5">
        <w:rPr>
          <w:rFonts w:ascii="Calibri" w:hAnsi="Calibri" w:cs="Calibri"/>
        </w:rPr>
        <w:t xml:space="preserve">The voucher covers technical and/or </w:t>
      </w:r>
      <w:r w:rsidR="003D2727" w:rsidRPr="004B03B5">
        <w:rPr>
          <w:rFonts w:ascii="Calibri" w:hAnsi="Calibri" w:cs="Calibri"/>
        </w:rPr>
        <w:t>training/</w:t>
      </w:r>
      <w:r w:rsidRPr="004B03B5">
        <w:rPr>
          <w:rFonts w:ascii="Calibri" w:hAnsi="Calibri" w:cs="Calibri"/>
        </w:rPr>
        <w:t>advisory services</w:t>
      </w:r>
      <w:r w:rsidR="006A2F16" w:rsidRPr="004B03B5">
        <w:rPr>
          <w:rFonts w:ascii="Calibri" w:hAnsi="Calibri" w:cs="Calibri"/>
        </w:rPr>
        <w:t xml:space="preserve"> </w:t>
      </w:r>
      <w:r w:rsidRPr="004B03B5">
        <w:rPr>
          <w:rFonts w:ascii="Calibri" w:hAnsi="Calibri" w:cs="Calibri"/>
        </w:rPr>
        <w:t>related to the Sustainability of the business from an approved service provider up to a value of €1,800. A maximum daily rate of €900 per day shall apply. Project cost may be higher.</w:t>
      </w:r>
      <w:r w:rsidR="00073CE2" w:rsidRPr="00073CE2">
        <w:t xml:space="preserve"> </w:t>
      </w:r>
    </w:p>
    <w:p w14:paraId="57CA478C" w14:textId="77777777" w:rsidR="006C0870" w:rsidRDefault="00073CE2" w:rsidP="006C0870">
      <w:pPr>
        <w:pStyle w:val="ListParagraph"/>
        <w:numPr>
          <w:ilvl w:val="0"/>
          <w:numId w:val="3"/>
        </w:numPr>
        <w:rPr>
          <w:rFonts w:ascii="Calibri" w:hAnsi="Calibri" w:cs="Calibri"/>
        </w:rPr>
      </w:pPr>
      <w:r w:rsidRPr="006C0870">
        <w:rPr>
          <w:rFonts w:ascii="Calibri" w:hAnsi="Calibri" w:cs="Calibri"/>
        </w:rPr>
        <w:t>Training Course fees where applicable for specialised external courses that drive the project goals.</w:t>
      </w:r>
    </w:p>
    <w:p w14:paraId="13FD56E9" w14:textId="77777777" w:rsidR="006C0870" w:rsidRDefault="00971CB9" w:rsidP="006C0870">
      <w:pPr>
        <w:pStyle w:val="ListParagraph"/>
        <w:numPr>
          <w:ilvl w:val="0"/>
          <w:numId w:val="3"/>
        </w:numPr>
        <w:rPr>
          <w:rFonts w:ascii="Calibri" w:hAnsi="Calibri" w:cs="Calibri"/>
        </w:rPr>
      </w:pPr>
      <w:r w:rsidRPr="006C0870">
        <w:rPr>
          <w:rFonts w:ascii="Calibri" w:hAnsi="Calibri" w:cs="Calibri"/>
        </w:rPr>
        <w:t xml:space="preserve">The assistance may be in the form of management consultancy / advice OR training of management or staff within the company or a combination of both. </w:t>
      </w:r>
      <w:bookmarkStart w:id="4" w:name="_Hlk149040401"/>
    </w:p>
    <w:p w14:paraId="092259DB" w14:textId="5F678812" w:rsidR="00C75701" w:rsidRPr="00E72DCF" w:rsidRDefault="004F629D" w:rsidP="006C0870">
      <w:pPr>
        <w:pStyle w:val="ListParagraph"/>
        <w:numPr>
          <w:ilvl w:val="0"/>
          <w:numId w:val="3"/>
        </w:numPr>
        <w:rPr>
          <w:rFonts w:ascii="Calibri" w:hAnsi="Calibri" w:cs="Calibri"/>
        </w:rPr>
      </w:pPr>
      <w:r w:rsidRPr="00E72DCF">
        <w:rPr>
          <w:rFonts w:ascii="Calibri" w:hAnsi="Calibri" w:cs="Calibri"/>
        </w:rPr>
        <w:t>C</w:t>
      </w:r>
      <w:r w:rsidR="00D911F4" w:rsidRPr="00E72DCF">
        <w:rPr>
          <w:rFonts w:ascii="Calibri" w:hAnsi="Calibri" w:cs="Calibri"/>
        </w:rPr>
        <w:t>osts</w:t>
      </w:r>
      <w:r w:rsidR="00DB68E7" w:rsidRPr="00E72DCF">
        <w:rPr>
          <w:rFonts w:ascii="Calibri" w:hAnsi="Calibri" w:cs="Calibri"/>
        </w:rPr>
        <w:t xml:space="preserve"> for</w:t>
      </w:r>
      <w:r w:rsidR="00D911F4" w:rsidRPr="00E72DCF">
        <w:rPr>
          <w:rFonts w:ascii="Calibri" w:hAnsi="Calibri" w:cs="Calibri"/>
        </w:rPr>
        <w:t xml:space="preserve"> </w:t>
      </w:r>
      <w:r w:rsidR="00BB24DA" w:rsidRPr="00E72DCF">
        <w:rPr>
          <w:rFonts w:ascii="Calibri" w:hAnsi="Calibri" w:cs="Calibri"/>
        </w:rPr>
        <w:t xml:space="preserve">use of </w:t>
      </w:r>
      <w:r w:rsidR="00D911F4" w:rsidRPr="00E72DCF">
        <w:rPr>
          <w:rFonts w:ascii="Calibri" w:hAnsi="Calibri" w:cs="Calibri"/>
        </w:rPr>
        <w:t>digital</w:t>
      </w:r>
      <w:r w:rsidR="00BB24DA" w:rsidRPr="00E72DCF">
        <w:rPr>
          <w:rFonts w:ascii="Calibri" w:hAnsi="Calibri" w:cs="Calibri"/>
        </w:rPr>
        <w:t xml:space="preserve"> content</w:t>
      </w:r>
      <w:r w:rsidR="00D911F4" w:rsidRPr="00E72DCF">
        <w:rPr>
          <w:rFonts w:ascii="Calibri" w:hAnsi="Calibri" w:cs="Calibri"/>
        </w:rPr>
        <w:t xml:space="preserve"> for </w:t>
      </w:r>
      <w:r w:rsidR="00BB24DA" w:rsidRPr="00E72DCF">
        <w:rPr>
          <w:rFonts w:ascii="Calibri" w:hAnsi="Calibri" w:cs="Calibri"/>
        </w:rPr>
        <w:t xml:space="preserve">sustainability </w:t>
      </w:r>
      <w:r w:rsidR="00DB68E7" w:rsidRPr="00E72DCF">
        <w:rPr>
          <w:rFonts w:ascii="Calibri" w:hAnsi="Calibri" w:cs="Calibri"/>
        </w:rPr>
        <w:t>e</w:t>
      </w:r>
      <w:r w:rsidR="008D25A5" w:rsidRPr="00E72DCF">
        <w:rPr>
          <w:rFonts w:ascii="Calibri" w:hAnsi="Calibri" w:cs="Calibri"/>
        </w:rPr>
        <w:t>-</w:t>
      </w:r>
      <w:r w:rsidR="00DB68E7" w:rsidRPr="00E72DCF">
        <w:rPr>
          <w:rFonts w:ascii="Calibri" w:hAnsi="Calibri" w:cs="Calibri"/>
        </w:rPr>
        <w:t>Learning</w:t>
      </w:r>
      <w:r w:rsidR="00A723FE" w:rsidRPr="00E72DCF">
        <w:rPr>
          <w:rFonts w:ascii="Calibri" w:hAnsi="Calibri" w:cs="Calibri"/>
        </w:rPr>
        <w:t>, health checks</w:t>
      </w:r>
      <w:r w:rsidR="00BB24DA" w:rsidRPr="00E72DCF">
        <w:rPr>
          <w:rFonts w:ascii="Calibri" w:hAnsi="Calibri" w:cs="Calibri"/>
        </w:rPr>
        <w:t xml:space="preserve"> and </w:t>
      </w:r>
      <w:r w:rsidR="00D911F4" w:rsidRPr="00E72DCF">
        <w:rPr>
          <w:rFonts w:ascii="Calibri" w:hAnsi="Calibri" w:cs="Calibri"/>
        </w:rPr>
        <w:t>benchmarking</w:t>
      </w:r>
      <w:r w:rsidR="001D2598">
        <w:rPr>
          <w:rFonts w:ascii="Calibri" w:hAnsi="Calibri" w:cs="Calibri"/>
        </w:rPr>
        <w:t>.</w:t>
      </w:r>
    </w:p>
    <w:p w14:paraId="1FC52165" w14:textId="5E08D5C2" w:rsidR="006F574D" w:rsidRPr="006C0870" w:rsidRDefault="00971CB9" w:rsidP="006C0870">
      <w:pPr>
        <w:pStyle w:val="ListParagraph"/>
        <w:numPr>
          <w:ilvl w:val="0"/>
          <w:numId w:val="3"/>
        </w:numPr>
        <w:rPr>
          <w:rFonts w:ascii="Calibri" w:hAnsi="Calibri" w:cs="Calibri"/>
        </w:rPr>
      </w:pPr>
      <w:r w:rsidRPr="006C0870">
        <w:rPr>
          <w:rFonts w:ascii="Calibri" w:hAnsi="Calibri" w:cs="Calibri"/>
        </w:rPr>
        <w:t>It is expected that the assistance would be provided over a relatively short period but can be spread out over a maximum of 6 weeks. Projects lasting longer than 6 weeks can be approved by the programme manager subject to the final claim date.</w:t>
      </w:r>
    </w:p>
    <w:bookmarkEnd w:id="4"/>
    <w:p w14:paraId="4861D9DE" w14:textId="77777777" w:rsidR="006F574D" w:rsidRDefault="006F574D" w:rsidP="006F574D">
      <w:pPr>
        <w:contextualSpacing/>
        <w:rPr>
          <w:rFonts w:ascii="Calibri" w:hAnsi="Calibri" w:cs="Calibri"/>
        </w:rPr>
      </w:pPr>
    </w:p>
    <w:p w14:paraId="66B6F141" w14:textId="77777777" w:rsidR="004B03B5" w:rsidRDefault="006F574D" w:rsidP="004B03B5">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Training Delivery</w:t>
      </w:r>
      <w:r>
        <w:t>;</w:t>
      </w:r>
    </w:p>
    <w:p w14:paraId="063E844E" w14:textId="77777777" w:rsidR="004B03B5" w:rsidRDefault="006F574D" w:rsidP="006F574D">
      <w:pPr>
        <w:numPr>
          <w:ilvl w:val="0"/>
          <w:numId w:val="3"/>
        </w:numPr>
        <w:contextualSpacing/>
        <w:rPr>
          <w:rFonts w:ascii="Calibri" w:hAnsi="Calibri" w:cs="Calibri"/>
        </w:rPr>
      </w:pPr>
      <w:r>
        <w:t>Training courses or activities must be structured, with predefined learning objectives as part of a training</w:t>
      </w:r>
      <w:r w:rsidR="00EE2751">
        <w:t xml:space="preserve"> </w:t>
      </w:r>
      <w:r>
        <w:t>specification. A training specification should include Title, Duration, Objectives, Delivery methodology, Outline of programme content.</w:t>
      </w:r>
    </w:p>
    <w:p w14:paraId="60067BDD" w14:textId="77777777" w:rsidR="004B03B5" w:rsidRPr="00E72DCF" w:rsidRDefault="006F574D" w:rsidP="006F574D">
      <w:pPr>
        <w:numPr>
          <w:ilvl w:val="0"/>
          <w:numId w:val="3"/>
        </w:numPr>
        <w:contextualSpacing/>
        <w:rPr>
          <w:rFonts w:ascii="Calibri" w:hAnsi="Calibri" w:cs="Calibri"/>
        </w:rPr>
      </w:pPr>
      <w:r w:rsidRPr="00E72DCF">
        <w:t>Training will generally take the form of classroom-based instruction</w:t>
      </w:r>
      <w:r w:rsidR="003936CA" w:rsidRPr="00E72DCF">
        <w:t xml:space="preserve">, </w:t>
      </w:r>
      <w:r w:rsidRPr="00E72DCF">
        <w:t>workshops</w:t>
      </w:r>
      <w:r w:rsidR="003936CA" w:rsidRPr="00E72DCF">
        <w:t>, demonst</w:t>
      </w:r>
      <w:r w:rsidR="006A108A" w:rsidRPr="00E72DCF">
        <w:t>rations or simulations</w:t>
      </w:r>
      <w:r w:rsidRPr="00E72DCF">
        <w:t xml:space="preserve">. </w:t>
      </w:r>
      <w:r w:rsidR="00AE2C09" w:rsidRPr="00E72DCF">
        <w:t xml:space="preserve"> </w:t>
      </w:r>
      <w:r w:rsidRPr="00E72DCF">
        <w:t>This can also include practical hands-on activities, project-based training challenges and coaching if specified as part of a structured training programme.</w:t>
      </w:r>
    </w:p>
    <w:p w14:paraId="17BA2A7D" w14:textId="4328B5C1" w:rsidR="006F574D" w:rsidRPr="00E72DCF" w:rsidRDefault="006F574D" w:rsidP="00085D22">
      <w:pPr>
        <w:numPr>
          <w:ilvl w:val="0"/>
          <w:numId w:val="3"/>
        </w:numPr>
        <w:contextualSpacing/>
        <w:rPr>
          <w:rFonts w:ascii="Calibri" w:hAnsi="Calibri" w:cs="Calibri"/>
        </w:rPr>
      </w:pPr>
      <w:r w:rsidRPr="00E72DCF">
        <w:t>Training may also be delivered online or remotely using e-Learning, Conferencing, or Virtual / Augmented reality</w:t>
      </w:r>
      <w:r w:rsidR="00EE2751" w:rsidRPr="00E72DCF">
        <w:t xml:space="preserve"> </w:t>
      </w:r>
      <w:r w:rsidRPr="00E72DCF">
        <w:t>technologies for instance.</w:t>
      </w:r>
    </w:p>
    <w:p w14:paraId="2118D2AB" w14:textId="77777777" w:rsidR="00D16FFD" w:rsidRPr="00E72DCF" w:rsidRDefault="00D16FFD" w:rsidP="00D16FFD">
      <w:pPr>
        <w:ind w:left="360"/>
        <w:contextualSpacing/>
        <w:rPr>
          <w:rFonts w:ascii="Calibri" w:hAnsi="Calibri" w:cs="Calibri"/>
        </w:rPr>
      </w:pPr>
    </w:p>
    <w:p w14:paraId="1E0F9EB8" w14:textId="77777777" w:rsidR="00884DE7" w:rsidRPr="00E72DCF" w:rsidRDefault="00884DE7" w:rsidP="00884DE7">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E72DCF">
        <w:rPr>
          <w:rFonts w:asciiTheme="majorHAnsi" w:eastAsiaTheme="majorEastAsia" w:hAnsiTheme="majorHAnsi" w:cstheme="majorBidi"/>
          <w:color w:val="2F5496" w:themeColor="accent1" w:themeShade="BF"/>
          <w:sz w:val="26"/>
          <w:szCs w:val="26"/>
          <w:lang w:val="en-US"/>
        </w:rPr>
        <w:t>Environmental Compliance and Do No Significant Harm </w:t>
      </w:r>
    </w:p>
    <w:p w14:paraId="74220674" w14:textId="77777777" w:rsidR="006E6C42" w:rsidRPr="00E72DCF" w:rsidRDefault="00884DE7" w:rsidP="00D549BC">
      <w:pPr>
        <w:pStyle w:val="paragraph"/>
        <w:spacing w:before="0" w:beforeAutospacing="0" w:after="0" w:afterAutospacing="0"/>
        <w:jc w:val="both"/>
        <w:textAlignment w:val="baseline"/>
        <w:rPr>
          <w:rStyle w:val="normaltextrun"/>
          <w:rFonts w:ascii="Calibri" w:hAnsi="Calibri" w:cs="Calibri"/>
          <w:sz w:val="22"/>
          <w:szCs w:val="22"/>
          <w:lang w:val="en-GB"/>
        </w:rPr>
      </w:pPr>
      <w:r w:rsidRPr="00E72DCF">
        <w:rPr>
          <w:rStyle w:val="normaltextrun"/>
          <w:rFonts w:ascii="Calibri" w:hAnsi="Calibri" w:cs="Calibri"/>
          <w:sz w:val="22"/>
          <w:szCs w:val="22"/>
        </w:rPr>
        <w:t>Selected projects must comply with relevant EU and national environmental legislation and in particular with the ‘Do no significant harm’ Technical Guidance (2021/C58/01).</w:t>
      </w:r>
      <w:r w:rsidRPr="00E72DCF">
        <w:rPr>
          <w:rStyle w:val="normaltextrun"/>
          <w:rFonts w:ascii="Calibri" w:hAnsi="Calibri" w:cs="Calibri"/>
          <w:sz w:val="22"/>
          <w:szCs w:val="22"/>
          <w:lang w:val="en-GB"/>
        </w:rPr>
        <w:t xml:space="preserve"> </w:t>
      </w:r>
    </w:p>
    <w:p w14:paraId="3F7B0A37" w14:textId="77777777" w:rsidR="006E6C42" w:rsidRPr="00E72DCF" w:rsidRDefault="006E6C42" w:rsidP="00D549BC">
      <w:pPr>
        <w:pStyle w:val="paragraph"/>
        <w:spacing w:before="0" w:beforeAutospacing="0" w:after="0" w:afterAutospacing="0"/>
        <w:jc w:val="both"/>
        <w:textAlignment w:val="baseline"/>
        <w:rPr>
          <w:rStyle w:val="normaltextrun"/>
          <w:rFonts w:ascii="Calibri" w:hAnsi="Calibri" w:cs="Calibri"/>
          <w:sz w:val="22"/>
          <w:szCs w:val="22"/>
          <w:lang w:val="en-GB"/>
        </w:rPr>
      </w:pPr>
    </w:p>
    <w:p w14:paraId="77F06CFB" w14:textId="585E94B0" w:rsidR="00884DE7" w:rsidRPr="00E72DCF" w:rsidRDefault="00884DE7" w:rsidP="00D549BC">
      <w:pPr>
        <w:pStyle w:val="paragraph"/>
        <w:spacing w:before="0" w:beforeAutospacing="0" w:after="0" w:afterAutospacing="0"/>
        <w:jc w:val="both"/>
        <w:textAlignment w:val="baseline"/>
        <w:rPr>
          <w:rFonts w:ascii="Segoe UI" w:hAnsi="Segoe UI" w:cs="Segoe UI"/>
          <w:sz w:val="18"/>
          <w:szCs w:val="18"/>
        </w:rPr>
      </w:pPr>
      <w:r w:rsidRPr="00E72DCF">
        <w:rPr>
          <w:rStyle w:val="normaltextrun"/>
          <w:rFonts w:ascii="Calibri" w:hAnsi="Calibri" w:cs="Calibri"/>
          <w:sz w:val="22"/>
          <w:szCs w:val="22"/>
          <w:lang w:val="en-GB"/>
        </w:rPr>
        <w:t>Specifically</w:t>
      </w:r>
      <w:r w:rsidR="0024090A" w:rsidRPr="00E72DCF">
        <w:rPr>
          <w:rStyle w:val="normaltextrun"/>
          <w:rFonts w:ascii="Calibri" w:hAnsi="Calibri" w:cs="Calibri"/>
          <w:sz w:val="22"/>
          <w:szCs w:val="22"/>
          <w:lang w:val="en-GB"/>
        </w:rPr>
        <w:t xml:space="preserve"> the following projects are not eligible</w:t>
      </w:r>
      <w:r w:rsidRPr="00E72DCF">
        <w:rPr>
          <w:rStyle w:val="normaltextrun"/>
          <w:rFonts w:ascii="Calibri" w:hAnsi="Calibri" w:cs="Calibri"/>
          <w:sz w:val="22"/>
          <w:szCs w:val="22"/>
          <w:lang w:val="en-US"/>
        </w:rPr>
        <w:t>: </w:t>
      </w:r>
      <w:r w:rsidRPr="00E72DCF">
        <w:rPr>
          <w:rStyle w:val="eop"/>
          <w:rFonts w:ascii="Calibri" w:hAnsi="Calibri" w:cs="Calibri"/>
          <w:sz w:val="22"/>
          <w:szCs w:val="22"/>
        </w:rPr>
        <w:t> </w:t>
      </w:r>
    </w:p>
    <w:p w14:paraId="5D91E466" w14:textId="77777777" w:rsidR="00884DE7" w:rsidRPr="00E72DCF" w:rsidRDefault="00884DE7" w:rsidP="00884DE7">
      <w:pPr>
        <w:pStyle w:val="paragraph"/>
        <w:numPr>
          <w:ilvl w:val="0"/>
          <w:numId w:val="30"/>
        </w:numPr>
        <w:spacing w:before="0" w:beforeAutospacing="0" w:after="0" w:afterAutospacing="0"/>
        <w:ind w:left="1080" w:firstLine="0"/>
        <w:textAlignment w:val="baseline"/>
        <w:rPr>
          <w:rFonts w:ascii="Calibri" w:hAnsi="Calibri" w:cs="Calibri"/>
          <w:sz w:val="22"/>
          <w:szCs w:val="22"/>
        </w:rPr>
      </w:pPr>
      <w:r w:rsidRPr="00E72DCF">
        <w:rPr>
          <w:rStyle w:val="normaltextrun"/>
          <w:rFonts w:ascii="Calibri" w:hAnsi="Calibri" w:cs="Calibri"/>
          <w:sz w:val="22"/>
          <w:szCs w:val="22"/>
        </w:rPr>
        <w:lastRenderedPageBreak/>
        <w:t>activities related to fossil fuels, including downstream use</w:t>
      </w:r>
      <w:r w:rsidRPr="00E72DCF">
        <w:rPr>
          <w:rStyle w:val="normaltextrun"/>
          <w:rFonts w:ascii="Calibri" w:hAnsi="Calibri" w:cs="Calibri"/>
          <w:sz w:val="17"/>
          <w:szCs w:val="17"/>
          <w:vertAlign w:val="superscript"/>
        </w:rPr>
        <w:t>1</w:t>
      </w:r>
      <w:r w:rsidRPr="00E72DCF">
        <w:rPr>
          <w:rStyle w:val="normaltextrun"/>
          <w:rFonts w:ascii="Calibri" w:hAnsi="Calibri" w:cs="Calibri"/>
          <w:sz w:val="22"/>
          <w:szCs w:val="22"/>
        </w:rPr>
        <w:t>; </w:t>
      </w:r>
      <w:r w:rsidRPr="00E72DCF">
        <w:rPr>
          <w:rStyle w:val="eop"/>
          <w:rFonts w:ascii="Calibri" w:hAnsi="Calibri" w:cs="Calibri"/>
          <w:sz w:val="22"/>
          <w:szCs w:val="22"/>
        </w:rPr>
        <w:t> </w:t>
      </w:r>
    </w:p>
    <w:p w14:paraId="40F409C7" w14:textId="77777777" w:rsidR="00884DE7" w:rsidRPr="00E72DCF" w:rsidRDefault="00884DE7" w:rsidP="006E6C42">
      <w:pPr>
        <w:pStyle w:val="paragraph"/>
        <w:numPr>
          <w:ilvl w:val="1"/>
          <w:numId w:val="30"/>
        </w:numPr>
        <w:spacing w:before="0" w:beforeAutospacing="0" w:after="0" w:afterAutospacing="0"/>
        <w:textAlignment w:val="baseline"/>
        <w:rPr>
          <w:rFonts w:ascii="Calibri" w:hAnsi="Calibri" w:cs="Calibri"/>
          <w:sz w:val="22"/>
          <w:szCs w:val="22"/>
        </w:rPr>
      </w:pPr>
      <w:r w:rsidRPr="00E72DCF">
        <w:rPr>
          <w:rStyle w:val="normaltextrun"/>
          <w:rFonts w:ascii="Calibri" w:hAnsi="Calibri" w:cs="Calibri"/>
          <w:sz w:val="22"/>
          <w:szCs w:val="22"/>
        </w:rPr>
        <w:t>activities under the EU Emission Trading System (ETS) achieving projected greenhouse gas emissions that are not lower than the relevant benchmarks</w:t>
      </w:r>
      <w:r w:rsidRPr="00E72DCF">
        <w:rPr>
          <w:rStyle w:val="normaltextrun"/>
          <w:rFonts w:ascii="Calibri" w:hAnsi="Calibri" w:cs="Calibri"/>
          <w:sz w:val="17"/>
          <w:szCs w:val="17"/>
          <w:vertAlign w:val="superscript"/>
        </w:rPr>
        <w:t>2</w:t>
      </w:r>
      <w:r w:rsidRPr="00E72DCF">
        <w:rPr>
          <w:rStyle w:val="normaltextrun"/>
          <w:rFonts w:ascii="Calibri" w:hAnsi="Calibri" w:cs="Calibri"/>
          <w:sz w:val="22"/>
          <w:szCs w:val="22"/>
        </w:rPr>
        <w:t>; </w:t>
      </w:r>
      <w:r w:rsidRPr="00E72DCF">
        <w:rPr>
          <w:rStyle w:val="eop"/>
          <w:rFonts w:ascii="Calibri" w:hAnsi="Calibri" w:cs="Calibri"/>
          <w:sz w:val="22"/>
          <w:szCs w:val="22"/>
        </w:rPr>
        <w:t> </w:t>
      </w:r>
    </w:p>
    <w:p w14:paraId="6D27E045" w14:textId="77777777" w:rsidR="00884DE7" w:rsidRPr="00E72DCF" w:rsidRDefault="00884DE7" w:rsidP="00884DE7">
      <w:pPr>
        <w:pStyle w:val="paragraph"/>
        <w:numPr>
          <w:ilvl w:val="0"/>
          <w:numId w:val="30"/>
        </w:numPr>
        <w:spacing w:before="0" w:beforeAutospacing="0" w:after="0" w:afterAutospacing="0"/>
        <w:ind w:left="1080" w:firstLine="0"/>
        <w:textAlignment w:val="baseline"/>
        <w:rPr>
          <w:rFonts w:ascii="Calibri" w:hAnsi="Calibri" w:cs="Calibri"/>
          <w:sz w:val="22"/>
          <w:szCs w:val="22"/>
        </w:rPr>
      </w:pPr>
      <w:r w:rsidRPr="00E72DCF">
        <w:rPr>
          <w:rStyle w:val="normaltextrun"/>
          <w:rFonts w:ascii="Calibri" w:hAnsi="Calibri" w:cs="Calibri"/>
          <w:sz w:val="22"/>
          <w:szCs w:val="22"/>
        </w:rPr>
        <w:t>activities related to waste landfills, incinerators</w:t>
      </w:r>
      <w:r w:rsidRPr="00E72DCF">
        <w:rPr>
          <w:rStyle w:val="normaltextrun"/>
          <w:rFonts w:ascii="Calibri" w:hAnsi="Calibri" w:cs="Calibri"/>
          <w:sz w:val="17"/>
          <w:szCs w:val="17"/>
          <w:vertAlign w:val="superscript"/>
        </w:rPr>
        <w:t>3</w:t>
      </w:r>
      <w:r w:rsidRPr="00E72DCF">
        <w:rPr>
          <w:rStyle w:val="normaltextrun"/>
          <w:rFonts w:ascii="Calibri" w:hAnsi="Calibri" w:cs="Calibri"/>
          <w:sz w:val="22"/>
          <w:szCs w:val="22"/>
        </w:rPr>
        <w:t xml:space="preserve"> and mechanical biological treatment plants</w:t>
      </w:r>
      <w:r w:rsidRPr="00E72DCF">
        <w:rPr>
          <w:rStyle w:val="normaltextrun"/>
          <w:rFonts w:ascii="Calibri" w:hAnsi="Calibri" w:cs="Calibri"/>
          <w:sz w:val="17"/>
          <w:szCs w:val="17"/>
          <w:vertAlign w:val="superscript"/>
        </w:rPr>
        <w:t>4</w:t>
      </w:r>
      <w:r w:rsidRPr="00E72DCF">
        <w:rPr>
          <w:rStyle w:val="normaltextrun"/>
          <w:rFonts w:ascii="Calibri" w:hAnsi="Calibri" w:cs="Calibri"/>
          <w:sz w:val="22"/>
          <w:szCs w:val="22"/>
        </w:rPr>
        <w:t>; and </w:t>
      </w:r>
      <w:r w:rsidRPr="00E72DCF">
        <w:rPr>
          <w:rStyle w:val="eop"/>
          <w:rFonts w:ascii="Calibri" w:hAnsi="Calibri" w:cs="Calibri"/>
          <w:sz w:val="22"/>
          <w:szCs w:val="22"/>
        </w:rPr>
        <w:t> </w:t>
      </w:r>
    </w:p>
    <w:p w14:paraId="2DD3B420" w14:textId="77777777" w:rsidR="00884DE7" w:rsidRPr="00E72DCF" w:rsidRDefault="00884DE7" w:rsidP="00884DE7">
      <w:pPr>
        <w:pStyle w:val="paragraph"/>
        <w:numPr>
          <w:ilvl w:val="0"/>
          <w:numId w:val="31"/>
        </w:numPr>
        <w:spacing w:before="0" w:beforeAutospacing="0" w:after="0" w:afterAutospacing="0"/>
        <w:ind w:left="1080" w:firstLine="0"/>
        <w:textAlignment w:val="baseline"/>
        <w:rPr>
          <w:rFonts w:ascii="Calibri" w:hAnsi="Calibri" w:cs="Calibri"/>
          <w:sz w:val="22"/>
          <w:szCs w:val="22"/>
        </w:rPr>
      </w:pPr>
      <w:r w:rsidRPr="00E72DCF">
        <w:rPr>
          <w:rStyle w:val="normaltextrun"/>
          <w:rFonts w:ascii="Calibri" w:hAnsi="Calibri" w:cs="Calibri"/>
          <w:sz w:val="22"/>
          <w:szCs w:val="22"/>
        </w:rPr>
        <w:t>activities where the long-term disposal of waste may cause harm to the environment. </w:t>
      </w:r>
      <w:r w:rsidRPr="00E72DCF">
        <w:rPr>
          <w:rStyle w:val="eop"/>
          <w:rFonts w:ascii="Calibri" w:hAnsi="Calibri" w:cs="Calibri"/>
          <w:sz w:val="22"/>
          <w:szCs w:val="22"/>
        </w:rPr>
        <w:t> </w:t>
      </w:r>
    </w:p>
    <w:p w14:paraId="2DB1E93F" w14:textId="77777777" w:rsidR="00884DE7" w:rsidRPr="00E72DCF" w:rsidRDefault="00884DE7" w:rsidP="00884DE7">
      <w:pPr>
        <w:pStyle w:val="paragraph"/>
        <w:spacing w:before="0" w:beforeAutospacing="0" w:after="0" w:afterAutospacing="0"/>
        <w:textAlignment w:val="baseline"/>
        <w:rPr>
          <w:rFonts w:ascii="Segoe UI" w:hAnsi="Segoe UI" w:cs="Segoe UI"/>
          <w:sz w:val="18"/>
          <w:szCs w:val="18"/>
        </w:rPr>
      </w:pPr>
      <w:r w:rsidRPr="00E72DCF">
        <w:rPr>
          <w:rStyle w:val="eop"/>
          <w:rFonts w:ascii="Calibri" w:hAnsi="Calibri" w:cs="Calibri"/>
          <w:sz w:val="22"/>
          <w:szCs w:val="22"/>
        </w:rPr>
        <w:t> </w:t>
      </w:r>
    </w:p>
    <w:p w14:paraId="1D4DE384" w14:textId="77777777" w:rsidR="00884DE7" w:rsidRPr="00E72DCF" w:rsidRDefault="00884DE7" w:rsidP="00884DE7">
      <w:pPr>
        <w:pStyle w:val="paragraph"/>
        <w:spacing w:before="0" w:beforeAutospacing="0" w:after="0" w:afterAutospacing="0"/>
        <w:textAlignment w:val="baseline"/>
        <w:rPr>
          <w:rFonts w:ascii="Segoe UI" w:hAnsi="Segoe UI" w:cs="Segoe UI"/>
          <w:sz w:val="18"/>
          <w:szCs w:val="18"/>
        </w:rPr>
      </w:pPr>
      <w:r w:rsidRPr="00E72DCF">
        <w:rPr>
          <w:rStyle w:val="normaltextrun"/>
          <w:rFonts w:ascii="Calibri" w:hAnsi="Calibri" w:cs="Calibri"/>
          <w:sz w:val="17"/>
          <w:szCs w:val="17"/>
          <w:vertAlign w:val="superscript"/>
        </w:rPr>
        <w:t xml:space="preserve">1 </w:t>
      </w:r>
      <w:r w:rsidRPr="00E72DCF">
        <w:rPr>
          <w:rFonts w:asciiTheme="minorHAnsi" w:eastAsiaTheme="minorHAnsi" w:hAnsiTheme="minorHAnsi" w:cstheme="minorBidi"/>
          <w:sz w:val="22"/>
          <w:szCs w:val="22"/>
          <w:lang w:val="en-US" w:eastAsia="en-US"/>
        </w:rPr>
        <w:t>Except projects under this measure in power and/or heat generation, as well as related transmission and distribution infrastructure, using natural gas, that are compliant with the conditions set out in Annex III of the ‘Do no significant harm’ Technical Guidance (2021/C58/01).</w:t>
      </w:r>
      <w:r w:rsidRPr="00E72DCF">
        <w:rPr>
          <w:rStyle w:val="eop"/>
          <w:rFonts w:ascii="Calibri" w:hAnsi="Calibri" w:cs="Calibri"/>
          <w:sz w:val="22"/>
          <w:szCs w:val="22"/>
        </w:rPr>
        <w:t> </w:t>
      </w:r>
    </w:p>
    <w:p w14:paraId="501DF952" w14:textId="77777777" w:rsidR="00884DE7" w:rsidRPr="00E72DCF" w:rsidRDefault="00884DE7" w:rsidP="00884DE7">
      <w:pPr>
        <w:pStyle w:val="paragraph"/>
        <w:spacing w:before="0" w:beforeAutospacing="0" w:after="0" w:afterAutospacing="0"/>
        <w:textAlignment w:val="baseline"/>
        <w:rPr>
          <w:rFonts w:asciiTheme="minorHAnsi" w:eastAsiaTheme="minorHAnsi" w:hAnsiTheme="minorHAnsi" w:cstheme="minorBidi"/>
          <w:sz w:val="22"/>
          <w:szCs w:val="22"/>
          <w:lang w:val="en-US" w:eastAsia="en-US"/>
        </w:rPr>
      </w:pPr>
      <w:r w:rsidRPr="00E72DCF">
        <w:rPr>
          <w:rStyle w:val="normaltextrun"/>
          <w:rFonts w:ascii="Calibri" w:hAnsi="Calibri" w:cs="Calibri"/>
          <w:sz w:val="17"/>
          <w:szCs w:val="17"/>
          <w:vertAlign w:val="superscript"/>
        </w:rPr>
        <w:t>2</w:t>
      </w:r>
      <w:r w:rsidRPr="00E72DCF">
        <w:rPr>
          <w:rStyle w:val="normaltextrun"/>
          <w:rFonts w:ascii="Calibri" w:hAnsi="Calibri" w:cs="Calibri"/>
          <w:sz w:val="22"/>
          <w:szCs w:val="22"/>
        </w:rPr>
        <w:t xml:space="preserve"> </w:t>
      </w:r>
      <w:r w:rsidRPr="00E72DCF">
        <w:rPr>
          <w:rFonts w:asciiTheme="minorHAnsi" w:eastAsiaTheme="minorHAnsi" w:hAnsiTheme="minorHAnsi" w:cstheme="minorBidi"/>
          <w:sz w:val="22"/>
          <w:szCs w:val="22"/>
          <w:lang w:val="en-US" w:eastAsia="en-US"/>
        </w:rPr>
        <w:t>Where the activity supported achieves projected greenhouse gas emissions that are not substantially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 </w:t>
      </w:r>
    </w:p>
    <w:p w14:paraId="28F2ABBD" w14:textId="77777777" w:rsidR="00884DE7" w:rsidRPr="00E72DCF" w:rsidRDefault="00884DE7" w:rsidP="00884DE7">
      <w:pPr>
        <w:pStyle w:val="paragraph"/>
        <w:spacing w:before="0" w:beforeAutospacing="0" w:after="0" w:afterAutospacing="0"/>
        <w:textAlignment w:val="baseline"/>
        <w:rPr>
          <w:rFonts w:asciiTheme="minorHAnsi" w:eastAsiaTheme="minorHAnsi" w:hAnsiTheme="minorHAnsi" w:cstheme="minorBidi"/>
          <w:sz w:val="22"/>
          <w:szCs w:val="22"/>
          <w:lang w:val="en-US" w:eastAsia="en-US"/>
        </w:rPr>
      </w:pPr>
      <w:r w:rsidRPr="00E72DCF">
        <w:rPr>
          <w:rStyle w:val="normaltextrun"/>
          <w:rFonts w:ascii="Calibri" w:hAnsi="Calibri" w:cs="Calibri"/>
          <w:sz w:val="17"/>
          <w:szCs w:val="17"/>
          <w:vertAlign w:val="superscript"/>
        </w:rPr>
        <w:t xml:space="preserve">3 </w:t>
      </w:r>
      <w:r w:rsidRPr="00E72DCF">
        <w:rPr>
          <w:rFonts w:asciiTheme="minorHAnsi" w:eastAsiaTheme="minorHAnsi" w:hAnsiTheme="minorHAnsi" w:cstheme="minorBidi"/>
          <w:sz w:val="22"/>
          <w:szCs w:val="22"/>
          <w:lang w:val="en-US" w:eastAsia="en-US"/>
        </w:rPr>
        <w:t>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r w:rsidRPr="00E72DCF">
        <w:rPr>
          <w:rFonts w:asciiTheme="minorHAnsi" w:eastAsiaTheme="minorHAnsi" w:hAnsiTheme="minorHAnsi" w:cstheme="minorBidi"/>
          <w:lang w:val="en-US" w:eastAsia="en-US"/>
        </w:rPr>
        <w:t> </w:t>
      </w:r>
    </w:p>
    <w:p w14:paraId="00B32930" w14:textId="77777777" w:rsidR="00884DE7" w:rsidRPr="00E72DCF" w:rsidRDefault="00884DE7" w:rsidP="00884DE7">
      <w:pPr>
        <w:pStyle w:val="paragraph"/>
        <w:spacing w:before="0" w:beforeAutospacing="0" w:after="0" w:afterAutospacing="0"/>
        <w:textAlignment w:val="baseline"/>
        <w:rPr>
          <w:rFonts w:asciiTheme="minorHAnsi" w:eastAsiaTheme="minorHAnsi" w:hAnsiTheme="minorHAnsi" w:cstheme="minorBidi"/>
          <w:sz w:val="22"/>
          <w:szCs w:val="22"/>
          <w:lang w:val="en-US" w:eastAsia="en-US"/>
        </w:rPr>
      </w:pPr>
      <w:r w:rsidRPr="00E72DCF">
        <w:rPr>
          <w:rStyle w:val="normaltextrun"/>
          <w:rFonts w:ascii="Calibri" w:hAnsi="Calibri" w:cs="Calibri"/>
          <w:sz w:val="17"/>
          <w:szCs w:val="17"/>
          <w:vertAlign w:val="superscript"/>
        </w:rPr>
        <w:t xml:space="preserve">4 </w:t>
      </w:r>
      <w:r w:rsidRPr="00E72DCF">
        <w:rPr>
          <w:rFonts w:asciiTheme="minorHAnsi" w:eastAsiaTheme="minorHAnsi" w:hAnsiTheme="minorHAnsi" w:cstheme="minorBidi"/>
          <w:sz w:val="22"/>
          <w:szCs w:val="22"/>
          <w:lang w:val="en-US" w:eastAsia="en-US"/>
        </w:rPr>
        <w:t>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r w:rsidRPr="00E72DCF">
        <w:rPr>
          <w:rFonts w:asciiTheme="minorHAnsi" w:eastAsiaTheme="minorHAnsi" w:hAnsiTheme="minorHAnsi" w:cstheme="minorBidi"/>
          <w:lang w:val="en-US" w:eastAsia="en-US"/>
        </w:rPr>
        <w:t> </w:t>
      </w:r>
    </w:p>
    <w:p w14:paraId="7F76CDE2" w14:textId="77777777" w:rsidR="00656269" w:rsidRPr="00E72DCF" w:rsidRDefault="00656269" w:rsidP="00656269">
      <w:pPr>
        <w:contextualSpacing/>
        <w:rPr>
          <w:rFonts w:ascii="Calibri" w:hAnsi="Calibri" w:cs="Calibri"/>
        </w:rPr>
      </w:pPr>
    </w:p>
    <w:p w14:paraId="5F5675E8" w14:textId="77777777" w:rsidR="00971CB9" w:rsidRPr="00E72DCF"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E72DCF">
        <w:rPr>
          <w:rFonts w:asciiTheme="majorHAnsi" w:eastAsiaTheme="majorEastAsia" w:hAnsiTheme="majorHAnsi" w:cstheme="majorBidi"/>
          <w:color w:val="2F5496" w:themeColor="accent1" w:themeShade="BF"/>
          <w:sz w:val="26"/>
          <w:szCs w:val="26"/>
          <w:lang w:val="en-US"/>
        </w:rPr>
        <w:t>Application, Assessment and Approval process</w:t>
      </w:r>
    </w:p>
    <w:p w14:paraId="12F6251E" w14:textId="22ACA092" w:rsidR="00971CB9" w:rsidRPr="00E72DCF" w:rsidRDefault="00971CB9" w:rsidP="00971CB9">
      <w:pPr>
        <w:rPr>
          <w:lang w:val="en-US"/>
        </w:rPr>
      </w:pPr>
      <w:r w:rsidRPr="00E72DCF">
        <w:rPr>
          <w:lang w:val="en-US"/>
        </w:rPr>
        <w:t xml:space="preserve">Applications may be submitted at any time to Enterprise Ireland (i.e., there is no set call close date). However, applications </w:t>
      </w:r>
      <w:r w:rsidRPr="00E72DCF">
        <w:rPr>
          <w:b/>
          <w:i/>
          <w:lang w:val="en-US"/>
        </w:rPr>
        <w:t>should, where possible</w:t>
      </w:r>
      <w:r w:rsidRPr="00E72DCF">
        <w:rPr>
          <w:lang w:val="en-US"/>
        </w:rPr>
        <w:t xml:space="preserve"> be discussed with the assigned Development Advisor prior to submission. Enterprise Ireland clients should</w:t>
      </w:r>
      <w:r w:rsidR="005576D2" w:rsidRPr="00E72DCF">
        <w:rPr>
          <w:lang w:val="en-US"/>
        </w:rPr>
        <w:t xml:space="preserve"> contact</w:t>
      </w:r>
      <w:r w:rsidRPr="00E72DCF">
        <w:rPr>
          <w:lang w:val="en-US"/>
        </w:rPr>
        <w:t xml:space="preserve"> their Development Advisor in order to discuss their proposed project. With the agreement of the assigned Development Advisor, applications can be made through the Enterprise Ireland website. </w:t>
      </w:r>
    </w:p>
    <w:p w14:paraId="767BBB42" w14:textId="5648031A" w:rsidR="008A2228" w:rsidRPr="00E72DCF" w:rsidRDefault="008A2228" w:rsidP="00971CB9">
      <w:r w:rsidRPr="00E72DCF">
        <w:t>Companies will be required to give their organisational carbon footprint as part of the application process either through completion of the Climate Toolkit 4 Business Carbon Calculator, GHG Protocol Corporate Standard, ISO 14064-1 Standard or similar.</w:t>
      </w:r>
    </w:p>
    <w:p w14:paraId="3E2BF9F6" w14:textId="77777777" w:rsidR="009C5E18" w:rsidRPr="00E72DCF" w:rsidRDefault="009C5E18" w:rsidP="009C5E18">
      <w:pPr>
        <w:ind w:left="360"/>
        <w:contextualSpacing/>
        <w:rPr>
          <w:rFonts w:ascii="Calibri" w:hAnsi="Calibri" w:cs="Calibri"/>
          <w:strike/>
        </w:rPr>
      </w:pPr>
    </w:p>
    <w:p w14:paraId="6AC3C945" w14:textId="77777777" w:rsidR="009C5E18" w:rsidRPr="00E72DCF" w:rsidRDefault="009C5E18" w:rsidP="00E0611F">
      <w:pPr>
        <w:contextualSpacing/>
        <w:rPr>
          <w:rFonts w:ascii="Calibri" w:hAnsi="Calibri" w:cs="Calibri"/>
        </w:rPr>
      </w:pPr>
    </w:p>
    <w:p w14:paraId="104B733C" w14:textId="77777777" w:rsidR="00E0611F" w:rsidRPr="00E72DCF" w:rsidRDefault="00E0611F" w:rsidP="00E0611F">
      <w:pPr>
        <w:keepNext/>
        <w:keepLines/>
        <w:spacing w:before="40" w:after="0"/>
        <w:outlineLvl w:val="2"/>
        <w:rPr>
          <w:rFonts w:asciiTheme="majorHAnsi" w:eastAsiaTheme="majorEastAsia" w:hAnsiTheme="majorHAnsi" w:cstheme="majorBidi"/>
          <w:color w:val="1F3763" w:themeColor="accent1" w:themeShade="7F"/>
          <w:sz w:val="24"/>
          <w:szCs w:val="24"/>
          <w:lang w:val="en-US"/>
        </w:rPr>
      </w:pPr>
      <w:r w:rsidRPr="00E72DCF">
        <w:rPr>
          <w:rFonts w:asciiTheme="majorHAnsi" w:eastAsiaTheme="majorEastAsia" w:hAnsiTheme="majorHAnsi" w:cstheme="majorBidi"/>
          <w:color w:val="1F3763" w:themeColor="accent1" w:themeShade="7F"/>
          <w:sz w:val="24"/>
          <w:szCs w:val="24"/>
          <w:lang w:val="en-US"/>
        </w:rPr>
        <w:t>Application Steps</w:t>
      </w:r>
    </w:p>
    <w:tbl>
      <w:tblPr>
        <w:tblW w:w="10177" w:type="dxa"/>
        <w:tblInd w:w="24" w:type="dxa"/>
        <w:tblCellMar>
          <w:top w:w="22" w:type="dxa"/>
          <w:right w:w="103" w:type="dxa"/>
        </w:tblCellMar>
        <w:tblLook w:val="04A0" w:firstRow="1" w:lastRow="0" w:firstColumn="1" w:lastColumn="0" w:noHBand="0" w:noVBand="1"/>
      </w:tblPr>
      <w:tblGrid>
        <w:gridCol w:w="538"/>
        <w:gridCol w:w="9639"/>
      </w:tblGrid>
      <w:tr w:rsidR="00E0611F" w:rsidRPr="00E72DCF" w14:paraId="06685292" w14:textId="77777777" w:rsidTr="00CC48FE">
        <w:trPr>
          <w:trHeight w:val="566"/>
        </w:trPr>
        <w:tc>
          <w:tcPr>
            <w:tcW w:w="538" w:type="dxa"/>
            <w:tcBorders>
              <w:top w:val="single" w:sz="4" w:space="0" w:color="000000"/>
              <w:left w:val="single" w:sz="4" w:space="0" w:color="000000"/>
              <w:bottom w:val="single" w:sz="4" w:space="0" w:color="000000"/>
              <w:right w:val="single" w:sz="4" w:space="0" w:color="000000"/>
            </w:tcBorders>
          </w:tcPr>
          <w:p w14:paraId="39907666" w14:textId="77777777" w:rsidR="00E0611F" w:rsidRPr="00E72DCF" w:rsidRDefault="00E0611F" w:rsidP="00CC48FE">
            <w:pPr>
              <w:jc w:val="center"/>
              <w:rPr>
                <w:lang w:val="en-US"/>
              </w:rPr>
            </w:pPr>
            <w:r w:rsidRPr="00E72DCF">
              <w:rPr>
                <w:lang w:val="en-US"/>
              </w:rPr>
              <w:t>1</w:t>
            </w:r>
          </w:p>
        </w:tc>
        <w:tc>
          <w:tcPr>
            <w:tcW w:w="9639" w:type="dxa"/>
            <w:tcBorders>
              <w:top w:val="single" w:sz="4" w:space="0" w:color="000000"/>
              <w:left w:val="single" w:sz="4" w:space="0" w:color="000000"/>
              <w:bottom w:val="single" w:sz="4" w:space="0" w:color="000000"/>
              <w:right w:val="single" w:sz="4" w:space="0" w:color="000000"/>
            </w:tcBorders>
          </w:tcPr>
          <w:p w14:paraId="761B0A55" w14:textId="77777777" w:rsidR="00E0611F" w:rsidRPr="00E72DCF" w:rsidRDefault="00E0611F" w:rsidP="00CC48FE">
            <w:pPr>
              <w:rPr>
                <w:lang w:val="en-US"/>
              </w:rPr>
            </w:pPr>
            <w:r w:rsidRPr="00E72DCF">
              <w:rPr>
                <w:lang w:val="en-US"/>
              </w:rPr>
              <w:t xml:space="preserve">The relevant Development Advisor (DA) discusses the case with the client company and if appropriate advises the client to complete an online application.  </w:t>
            </w:r>
          </w:p>
        </w:tc>
      </w:tr>
      <w:tr w:rsidR="00E0611F" w:rsidRPr="00E72DCF" w14:paraId="34062D4D" w14:textId="77777777" w:rsidTr="00CC48FE">
        <w:trPr>
          <w:trHeight w:val="291"/>
        </w:trPr>
        <w:tc>
          <w:tcPr>
            <w:tcW w:w="538" w:type="dxa"/>
            <w:tcBorders>
              <w:top w:val="single" w:sz="4" w:space="0" w:color="000000"/>
              <w:left w:val="single" w:sz="4" w:space="0" w:color="000000"/>
              <w:bottom w:val="single" w:sz="4" w:space="0" w:color="000000"/>
              <w:right w:val="single" w:sz="4" w:space="0" w:color="000000"/>
            </w:tcBorders>
          </w:tcPr>
          <w:p w14:paraId="6B346FE5" w14:textId="77777777" w:rsidR="00E0611F" w:rsidRPr="00E72DCF" w:rsidRDefault="00E0611F" w:rsidP="00CC48FE">
            <w:pPr>
              <w:jc w:val="center"/>
              <w:rPr>
                <w:lang w:val="en-US"/>
              </w:rPr>
            </w:pPr>
            <w:r w:rsidRPr="00E72DCF">
              <w:rPr>
                <w:lang w:val="en-US"/>
              </w:rPr>
              <w:t>2</w:t>
            </w:r>
          </w:p>
        </w:tc>
        <w:tc>
          <w:tcPr>
            <w:tcW w:w="9639" w:type="dxa"/>
            <w:tcBorders>
              <w:top w:val="single" w:sz="4" w:space="0" w:color="000000"/>
              <w:left w:val="single" w:sz="4" w:space="0" w:color="000000"/>
              <w:bottom w:val="single" w:sz="4" w:space="0" w:color="000000"/>
              <w:right w:val="single" w:sz="4" w:space="0" w:color="000000"/>
            </w:tcBorders>
          </w:tcPr>
          <w:p w14:paraId="55B5A19F" w14:textId="689E2D21" w:rsidR="00E0611F" w:rsidRPr="00E72DCF" w:rsidRDefault="00E0611F" w:rsidP="00CC48FE">
            <w:pPr>
              <w:rPr>
                <w:lang w:val="en-US"/>
              </w:rPr>
            </w:pPr>
            <w:r w:rsidRPr="00E72DCF">
              <w:rPr>
                <w:lang w:val="en-US"/>
              </w:rPr>
              <w:t xml:space="preserve">The client company is responsible for the selection of a </w:t>
            </w:r>
            <w:r w:rsidR="006C3A3E" w:rsidRPr="00E72DCF">
              <w:rPr>
                <w:lang w:val="en-US"/>
              </w:rPr>
              <w:t>service provider/</w:t>
            </w:r>
            <w:r w:rsidRPr="00E72DCF">
              <w:rPr>
                <w:lang w:val="en-US"/>
              </w:rPr>
              <w:t>consultant to carry out the assignmen</w:t>
            </w:r>
            <w:r w:rsidR="004A1A3A" w:rsidRPr="00E72DCF">
              <w:rPr>
                <w:lang w:val="en-US"/>
              </w:rPr>
              <w:t>t,</w:t>
            </w:r>
            <w:r w:rsidRPr="00E72DCF">
              <w:rPr>
                <w:lang w:val="en-US"/>
              </w:rPr>
              <w:t xml:space="preserve"> </w:t>
            </w:r>
            <w:r w:rsidR="004A1A3A" w:rsidRPr="00E72DCF">
              <w:rPr>
                <w:lang w:val="en-US"/>
              </w:rPr>
              <w:t xml:space="preserve">external </w:t>
            </w:r>
            <w:r w:rsidRPr="00E72DCF">
              <w:rPr>
                <w:lang w:val="en-US"/>
              </w:rPr>
              <w:t>course</w:t>
            </w:r>
            <w:r w:rsidR="004A1A3A" w:rsidRPr="00E72DCF">
              <w:rPr>
                <w:lang w:val="en-US"/>
              </w:rPr>
              <w:t>,</w:t>
            </w:r>
            <w:r w:rsidR="007E6258" w:rsidRPr="00E72DCF">
              <w:rPr>
                <w:lang w:val="en-US"/>
              </w:rPr>
              <w:t xml:space="preserve"> e learning</w:t>
            </w:r>
            <w:r w:rsidR="004A1A3A" w:rsidRPr="00E72DCF">
              <w:rPr>
                <w:lang w:val="en-US"/>
              </w:rPr>
              <w:t xml:space="preserve">, </w:t>
            </w:r>
            <w:proofErr w:type="spellStart"/>
            <w:r w:rsidR="004A1A3A" w:rsidRPr="00E72DCF">
              <w:rPr>
                <w:lang w:val="en-US"/>
              </w:rPr>
              <w:t>healthcheck</w:t>
            </w:r>
            <w:proofErr w:type="spellEnd"/>
            <w:r w:rsidR="004A1A3A" w:rsidRPr="00E72DCF">
              <w:rPr>
                <w:lang w:val="en-US"/>
              </w:rPr>
              <w:t xml:space="preserve"> or benchmarking as appropriate.</w:t>
            </w:r>
            <w:r w:rsidR="00E37DF3" w:rsidRPr="00E72DCF">
              <w:rPr>
                <w:lang w:val="en-US"/>
              </w:rPr>
              <w:t xml:space="preserve"> </w:t>
            </w:r>
            <w:r w:rsidRPr="00E72DCF">
              <w:rPr>
                <w:lang w:val="en-US"/>
              </w:rPr>
              <w:t>.</w:t>
            </w:r>
          </w:p>
        </w:tc>
      </w:tr>
      <w:tr w:rsidR="00E0611F" w:rsidRPr="00E72DCF" w14:paraId="773DA7FB" w14:textId="77777777" w:rsidTr="00CC48FE">
        <w:trPr>
          <w:trHeight w:val="291"/>
        </w:trPr>
        <w:tc>
          <w:tcPr>
            <w:tcW w:w="538" w:type="dxa"/>
            <w:tcBorders>
              <w:top w:val="single" w:sz="4" w:space="0" w:color="000000"/>
              <w:left w:val="single" w:sz="4" w:space="0" w:color="000000"/>
              <w:bottom w:val="single" w:sz="4" w:space="0" w:color="000000"/>
              <w:right w:val="single" w:sz="4" w:space="0" w:color="000000"/>
            </w:tcBorders>
          </w:tcPr>
          <w:p w14:paraId="6C04A2F6" w14:textId="77777777" w:rsidR="00E0611F" w:rsidRPr="00E72DCF" w:rsidRDefault="00E0611F" w:rsidP="00CC48FE">
            <w:pPr>
              <w:jc w:val="center"/>
              <w:rPr>
                <w:lang w:val="en-US"/>
              </w:rPr>
            </w:pPr>
            <w:r w:rsidRPr="00E72DCF">
              <w:rPr>
                <w:lang w:val="en-US"/>
              </w:rPr>
              <w:t>3</w:t>
            </w:r>
          </w:p>
        </w:tc>
        <w:tc>
          <w:tcPr>
            <w:tcW w:w="9639" w:type="dxa"/>
            <w:tcBorders>
              <w:top w:val="single" w:sz="4" w:space="0" w:color="000000"/>
              <w:left w:val="single" w:sz="4" w:space="0" w:color="000000"/>
              <w:bottom w:val="single" w:sz="4" w:space="0" w:color="000000"/>
              <w:right w:val="single" w:sz="4" w:space="0" w:color="000000"/>
            </w:tcBorders>
          </w:tcPr>
          <w:p w14:paraId="08EC95DB" w14:textId="45AB6DAC" w:rsidR="00E0611F" w:rsidRPr="00E72DCF" w:rsidRDefault="00E0611F" w:rsidP="00CC48FE">
            <w:pPr>
              <w:rPr>
                <w:lang w:val="en-US"/>
              </w:rPr>
            </w:pPr>
            <w:r w:rsidRPr="00E72DCF">
              <w:rPr>
                <w:lang w:val="en-US"/>
              </w:rPr>
              <w:t xml:space="preserve">The client completes the application form online and submits. Note that a Financial Data Sheet (FDS) is not required for a </w:t>
            </w:r>
            <w:r w:rsidR="000404C3" w:rsidRPr="00E72DCF">
              <w:rPr>
                <w:lang w:val="en-US"/>
              </w:rPr>
              <w:t>Climate Action</w:t>
            </w:r>
            <w:r w:rsidRPr="00E72DCF">
              <w:rPr>
                <w:lang w:val="en-US"/>
              </w:rPr>
              <w:t xml:space="preserve"> </w:t>
            </w:r>
            <w:r w:rsidR="00112F36" w:rsidRPr="00E72DCF">
              <w:rPr>
                <w:lang w:val="en-US"/>
              </w:rPr>
              <w:t xml:space="preserve">Voucher </w:t>
            </w:r>
            <w:r w:rsidRPr="00E72DCF">
              <w:rPr>
                <w:lang w:val="en-US"/>
              </w:rPr>
              <w:t>application.</w:t>
            </w:r>
          </w:p>
        </w:tc>
      </w:tr>
      <w:tr w:rsidR="00E0611F" w:rsidRPr="00E72DCF" w14:paraId="56E45ACD" w14:textId="77777777" w:rsidTr="00CC48FE">
        <w:trPr>
          <w:trHeight w:val="566"/>
        </w:trPr>
        <w:tc>
          <w:tcPr>
            <w:tcW w:w="538" w:type="dxa"/>
            <w:tcBorders>
              <w:top w:val="single" w:sz="4" w:space="0" w:color="000000"/>
              <w:left w:val="single" w:sz="4" w:space="0" w:color="000000"/>
              <w:bottom w:val="single" w:sz="4" w:space="0" w:color="000000"/>
              <w:right w:val="single" w:sz="4" w:space="0" w:color="000000"/>
            </w:tcBorders>
          </w:tcPr>
          <w:p w14:paraId="2B998D09" w14:textId="23089020" w:rsidR="00E0611F" w:rsidRPr="00E72DCF" w:rsidRDefault="00555278" w:rsidP="00CC48FE">
            <w:pPr>
              <w:jc w:val="center"/>
              <w:rPr>
                <w:lang w:val="en-US"/>
              </w:rPr>
            </w:pPr>
            <w:r>
              <w:rPr>
                <w:lang w:val="en-US"/>
              </w:rPr>
              <w:t>4</w:t>
            </w:r>
          </w:p>
        </w:tc>
        <w:tc>
          <w:tcPr>
            <w:tcW w:w="9639" w:type="dxa"/>
            <w:tcBorders>
              <w:top w:val="single" w:sz="4" w:space="0" w:color="000000"/>
              <w:left w:val="single" w:sz="4" w:space="0" w:color="000000"/>
              <w:bottom w:val="single" w:sz="4" w:space="0" w:color="000000"/>
              <w:right w:val="single" w:sz="4" w:space="0" w:color="000000"/>
            </w:tcBorders>
          </w:tcPr>
          <w:p w14:paraId="3CC46F08" w14:textId="40BED854" w:rsidR="00E0611F" w:rsidRPr="00E72DCF" w:rsidRDefault="00E0611F" w:rsidP="00CC48FE">
            <w:pPr>
              <w:rPr>
                <w:lang w:val="en-US"/>
              </w:rPr>
            </w:pPr>
            <w:r w:rsidRPr="00E72DCF">
              <w:rPr>
                <w:lang w:val="en-US"/>
              </w:rPr>
              <w:t>The final approval is through the Line management system by the DA and Department</w:t>
            </w:r>
            <w:r w:rsidR="003B149D" w:rsidRPr="00E72DCF">
              <w:rPr>
                <w:lang w:val="en-US"/>
              </w:rPr>
              <w:t>/</w:t>
            </w:r>
            <w:proofErr w:type="spellStart"/>
            <w:r w:rsidR="003B149D" w:rsidRPr="00E72DCF">
              <w:rPr>
                <w:lang w:val="en-US"/>
              </w:rPr>
              <w:t>Divsional</w:t>
            </w:r>
            <w:proofErr w:type="spellEnd"/>
            <w:r w:rsidRPr="00E72DCF">
              <w:rPr>
                <w:lang w:val="en-US"/>
              </w:rPr>
              <w:t xml:space="preserve"> Manager</w:t>
            </w:r>
            <w:r w:rsidR="003B149D" w:rsidRPr="00E72DCF">
              <w:rPr>
                <w:lang w:val="en-US"/>
              </w:rPr>
              <w:t xml:space="preserve"> and Programme Lead</w:t>
            </w:r>
            <w:r w:rsidR="00F67DE4" w:rsidRPr="00E72DCF">
              <w:rPr>
                <w:lang w:val="en-US"/>
              </w:rPr>
              <w:t>/Green Desk</w:t>
            </w:r>
            <w:r w:rsidRPr="00E72DCF">
              <w:rPr>
                <w:lang w:val="en-US"/>
              </w:rPr>
              <w:t>.</w:t>
            </w:r>
          </w:p>
        </w:tc>
      </w:tr>
      <w:tr w:rsidR="00E0611F" w:rsidRPr="00E72DCF" w14:paraId="7830A4F2" w14:textId="77777777" w:rsidTr="00CC48FE">
        <w:trPr>
          <w:trHeight w:val="566"/>
        </w:trPr>
        <w:tc>
          <w:tcPr>
            <w:tcW w:w="538" w:type="dxa"/>
            <w:tcBorders>
              <w:top w:val="single" w:sz="4" w:space="0" w:color="000000"/>
              <w:left w:val="single" w:sz="4" w:space="0" w:color="000000"/>
              <w:bottom w:val="single" w:sz="4" w:space="0" w:color="000000"/>
              <w:right w:val="single" w:sz="4" w:space="0" w:color="000000"/>
            </w:tcBorders>
          </w:tcPr>
          <w:p w14:paraId="117C3C99" w14:textId="4EB35A15" w:rsidR="00E0611F" w:rsidRPr="00E72DCF" w:rsidRDefault="00555278" w:rsidP="00CC48FE">
            <w:pPr>
              <w:jc w:val="center"/>
              <w:rPr>
                <w:lang w:val="en-US"/>
              </w:rPr>
            </w:pPr>
            <w:r>
              <w:rPr>
                <w:lang w:val="en-US"/>
              </w:rPr>
              <w:t>5</w:t>
            </w:r>
          </w:p>
        </w:tc>
        <w:tc>
          <w:tcPr>
            <w:tcW w:w="9639" w:type="dxa"/>
            <w:tcBorders>
              <w:top w:val="single" w:sz="4" w:space="0" w:color="000000"/>
              <w:left w:val="single" w:sz="4" w:space="0" w:color="000000"/>
              <w:bottom w:val="single" w:sz="4" w:space="0" w:color="000000"/>
              <w:right w:val="single" w:sz="4" w:space="0" w:color="000000"/>
            </w:tcBorders>
          </w:tcPr>
          <w:p w14:paraId="662D700E" w14:textId="77777777" w:rsidR="00E0611F" w:rsidRPr="00E72DCF" w:rsidRDefault="00E0611F" w:rsidP="00CC48FE">
            <w:pPr>
              <w:rPr>
                <w:lang w:val="en-US"/>
              </w:rPr>
            </w:pPr>
            <w:r w:rsidRPr="00E72DCF">
              <w:rPr>
                <w:lang w:val="en-US"/>
              </w:rPr>
              <w:t xml:space="preserve">On receipt of Approval, Grant Applications issue the Letter of Offer.  </w:t>
            </w:r>
          </w:p>
        </w:tc>
      </w:tr>
      <w:tr w:rsidR="00E0611F" w:rsidRPr="00E0611F" w14:paraId="6CCFE7A6" w14:textId="77777777" w:rsidTr="00CC48FE">
        <w:trPr>
          <w:trHeight w:val="564"/>
        </w:trPr>
        <w:tc>
          <w:tcPr>
            <w:tcW w:w="538" w:type="dxa"/>
            <w:tcBorders>
              <w:top w:val="single" w:sz="4" w:space="0" w:color="000000"/>
              <w:left w:val="single" w:sz="4" w:space="0" w:color="000000"/>
              <w:bottom w:val="single" w:sz="4" w:space="0" w:color="000000"/>
              <w:right w:val="single" w:sz="4" w:space="0" w:color="000000"/>
            </w:tcBorders>
          </w:tcPr>
          <w:p w14:paraId="7D34CC46" w14:textId="28237041" w:rsidR="00E0611F" w:rsidRPr="00E72DCF" w:rsidRDefault="00555278" w:rsidP="00CC48FE">
            <w:pPr>
              <w:jc w:val="center"/>
              <w:rPr>
                <w:lang w:val="en-US"/>
              </w:rPr>
            </w:pPr>
            <w:r>
              <w:rPr>
                <w:lang w:val="en-US"/>
              </w:rPr>
              <w:lastRenderedPageBreak/>
              <w:t>6</w:t>
            </w:r>
          </w:p>
        </w:tc>
        <w:tc>
          <w:tcPr>
            <w:tcW w:w="9639" w:type="dxa"/>
            <w:tcBorders>
              <w:top w:val="single" w:sz="4" w:space="0" w:color="000000"/>
              <w:left w:val="single" w:sz="4" w:space="0" w:color="000000"/>
              <w:bottom w:val="single" w:sz="4" w:space="0" w:color="000000"/>
              <w:right w:val="single" w:sz="4" w:space="0" w:color="000000"/>
            </w:tcBorders>
          </w:tcPr>
          <w:p w14:paraId="6D8D9D14" w14:textId="656FA6A1" w:rsidR="00E0611F" w:rsidRPr="00E0611F" w:rsidRDefault="00E0611F" w:rsidP="00CC48FE">
            <w:pPr>
              <w:rPr>
                <w:lang w:val="en-US"/>
              </w:rPr>
            </w:pPr>
            <w:r w:rsidRPr="00E72DCF">
              <w:rPr>
                <w:lang w:val="en-US"/>
              </w:rPr>
              <w:t xml:space="preserve">On receipt and acceptance of letter of Offer, client engages Service Provider/ Course </w:t>
            </w:r>
            <w:r w:rsidR="00574F5D" w:rsidRPr="00E72DCF">
              <w:rPr>
                <w:lang w:val="en-US"/>
              </w:rPr>
              <w:t xml:space="preserve">/e learning </w:t>
            </w:r>
            <w:r w:rsidRPr="00E72DCF">
              <w:rPr>
                <w:lang w:val="en-US"/>
              </w:rPr>
              <w:t xml:space="preserve">provider to begin </w:t>
            </w:r>
            <w:r w:rsidR="004C5CE5" w:rsidRPr="00E72DCF">
              <w:rPr>
                <w:lang w:val="en-US"/>
              </w:rPr>
              <w:t xml:space="preserve">Climate Action Voucher </w:t>
            </w:r>
            <w:r w:rsidRPr="00E72DCF">
              <w:rPr>
                <w:lang w:val="en-US"/>
              </w:rPr>
              <w:t>assignment.</w:t>
            </w:r>
          </w:p>
        </w:tc>
      </w:tr>
    </w:tbl>
    <w:p w14:paraId="647C8AB7" w14:textId="77777777" w:rsidR="007106CE" w:rsidRDefault="007106CE" w:rsidP="007106CE">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33F0918E" w14:textId="3F6A1A37" w:rsidR="007106CE" w:rsidRPr="00D20DF0" w:rsidRDefault="007106CE" w:rsidP="007106CE">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D20DF0">
        <w:rPr>
          <w:rFonts w:asciiTheme="majorHAnsi" w:eastAsiaTheme="majorEastAsia" w:hAnsiTheme="majorHAnsi" w:cstheme="majorBidi"/>
          <w:color w:val="2F5496" w:themeColor="accent1" w:themeShade="BF"/>
          <w:sz w:val="26"/>
          <w:szCs w:val="26"/>
          <w:lang w:val="en-US"/>
        </w:rPr>
        <w:t>Assessment of Applications and Approval for Payment</w:t>
      </w:r>
    </w:p>
    <w:p w14:paraId="2F0CC62F" w14:textId="77777777" w:rsidR="007106CE" w:rsidRPr="00D20DF0" w:rsidRDefault="007106CE" w:rsidP="007106CE">
      <w:pPr>
        <w:rPr>
          <w:lang w:val="en-US"/>
        </w:rPr>
      </w:pPr>
      <w:r w:rsidRPr="00D20DF0">
        <w:rPr>
          <w:lang w:val="en-US"/>
        </w:rPr>
        <w:t>This will be based on;</w:t>
      </w:r>
    </w:p>
    <w:p w14:paraId="181BCB80" w14:textId="77777777" w:rsidR="007106CE" w:rsidRPr="00D20DF0" w:rsidRDefault="007106CE" w:rsidP="007106CE">
      <w:pPr>
        <w:numPr>
          <w:ilvl w:val="0"/>
          <w:numId w:val="6"/>
        </w:numPr>
        <w:contextualSpacing/>
        <w:rPr>
          <w:rFonts w:ascii="Calibri" w:hAnsi="Calibri" w:cs="Calibri"/>
        </w:rPr>
      </w:pPr>
      <w:r w:rsidRPr="00D20DF0">
        <w:rPr>
          <w:rFonts w:ascii="Calibri" w:hAnsi="Calibri" w:cs="Calibri"/>
        </w:rPr>
        <w:t>The needs of the company (as defined by the Development Advisor)</w:t>
      </w:r>
    </w:p>
    <w:p w14:paraId="7D5A997B" w14:textId="77777777" w:rsidR="007106CE" w:rsidRPr="00D20DF0" w:rsidRDefault="007106CE" w:rsidP="007106CE">
      <w:pPr>
        <w:numPr>
          <w:ilvl w:val="0"/>
          <w:numId w:val="6"/>
        </w:numPr>
        <w:contextualSpacing/>
        <w:rPr>
          <w:rFonts w:ascii="Calibri" w:hAnsi="Calibri" w:cs="Calibri"/>
        </w:rPr>
      </w:pPr>
      <w:r w:rsidRPr="00D20DF0">
        <w:rPr>
          <w:rFonts w:ascii="Calibri" w:hAnsi="Calibri" w:cs="Calibri"/>
        </w:rPr>
        <w:t>The project not having started before the application was approved and service provider assigned</w:t>
      </w:r>
    </w:p>
    <w:p w14:paraId="17BEF56D" w14:textId="77777777" w:rsidR="007106CE" w:rsidRPr="00D20DF0" w:rsidRDefault="007106CE" w:rsidP="007106CE">
      <w:pPr>
        <w:numPr>
          <w:ilvl w:val="0"/>
          <w:numId w:val="6"/>
        </w:numPr>
        <w:contextualSpacing/>
        <w:rPr>
          <w:rFonts w:ascii="Calibri" w:hAnsi="Calibri" w:cs="Calibri"/>
        </w:rPr>
      </w:pPr>
      <w:r w:rsidRPr="00D20DF0">
        <w:rPr>
          <w:rFonts w:ascii="Calibri" w:hAnsi="Calibri" w:cs="Calibri"/>
        </w:rPr>
        <w:t>The proposal being in keeping with the goals and terms of the offer</w:t>
      </w:r>
    </w:p>
    <w:p w14:paraId="13DA2640" w14:textId="603B60AB" w:rsidR="007106CE" w:rsidRPr="00D20DF0" w:rsidRDefault="007106CE" w:rsidP="007106CE">
      <w:pPr>
        <w:numPr>
          <w:ilvl w:val="0"/>
          <w:numId w:val="6"/>
        </w:numPr>
        <w:contextualSpacing/>
        <w:rPr>
          <w:rFonts w:ascii="Calibri" w:hAnsi="Calibri" w:cs="Calibri"/>
        </w:rPr>
      </w:pPr>
      <w:r w:rsidRPr="00D20DF0">
        <w:rPr>
          <w:rFonts w:ascii="Calibri" w:hAnsi="Calibri" w:cs="Calibri"/>
        </w:rPr>
        <w:t xml:space="preserve">The Service Provider being approved as part of the Service Provider directory or by the Green Programme Manager. </w:t>
      </w:r>
    </w:p>
    <w:p w14:paraId="32FA1BF3" w14:textId="2DC469D8" w:rsidR="007106CE" w:rsidRPr="00E72DCF" w:rsidRDefault="007106CE" w:rsidP="007106CE">
      <w:pPr>
        <w:numPr>
          <w:ilvl w:val="0"/>
          <w:numId w:val="6"/>
        </w:numPr>
        <w:contextualSpacing/>
        <w:rPr>
          <w:rFonts w:ascii="Calibri" w:hAnsi="Calibri" w:cs="Calibri"/>
        </w:rPr>
      </w:pPr>
      <w:r w:rsidRPr="00E72DCF">
        <w:rPr>
          <w:rFonts w:ascii="Calibri" w:hAnsi="Calibri" w:cs="Calibri"/>
        </w:rPr>
        <w:t>The external course</w:t>
      </w:r>
      <w:r w:rsidR="00E364F9" w:rsidRPr="00E72DCF">
        <w:rPr>
          <w:rFonts w:ascii="Calibri" w:hAnsi="Calibri" w:cs="Calibri"/>
        </w:rPr>
        <w:t xml:space="preserve"> / e learning</w:t>
      </w:r>
      <w:r w:rsidRPr="00E72DCF">
        <w:rPr>
          <w:rFonts w:ascii="Calibri" w:hAnsi="Calibri" w:cs="Calibri"/>
        </w:rPr>
        <w:t xml:space="preserve"> </w:t>
      </w:r>
      <w:r w:rsidR="00105633" w:rsidRPr="00E72DCF">
        <w:rPr>
          <w:rFonts w:ascii="Calibri" w:hAnsi="Calibri" w:cs="Calibri"/>
        </w:rPr>
        <w:t xml:space="preserve">/ health check </w:t>
      </w:r>
      <w:r w:rsidR="00F82C91" w:rsidRPr="00E72DCF">
        <w:rPr>
          <w:rFonts w:ascii="Calibri" w:hAnsi="Calibri" w:cs="Calibri"/>
        </w:rPr>
        <w:t>/</w:t>
      </w:r>
      <w:r w:rsidR="006469D0" w:rsidRPr="00E72DCF">
        <w:rPr>
          <w:rFonts w:ascii="Calibri" w:hAnsi="Calibri" w:cs="Calibri"/>
        </w:rPr>
        <w:t xml:space="preserve"> benchmarking </w:t>
      </w:r>
      <w:r w:rsidRPr="00E72DCF">
        <w:rPr>
          <w:rFonts w:ascii="Calibri" w:hAnsi="Calibri" w:cs="Calibri"/>
        </w:rPr>
        <w:t>being approved will drive project goals</w:t>
      </w:r>
    </w:p>
    <w:p w14:paraId="63882AD5" w14:textId="6A0692FC" w:rsidR="00884732" w:rsidRPr="00E72DCF" w:rsidRDefault="007106CE" w:rsidP="00884732">
      <w:pPr>
        <w:numPr>
          <w:ilvl w:val="0"/>
          <w:numId w:val="6"/>
        </w:numPr>
        <w:contextualSpacing/>
        <w:rPr>
          <w:rFonts w:ascii="Calibri" w:hAnsi="Calibri" w:cs="Calibri"/>
        </w:rPr>
      </w:pPr>
      <w:r w:rsidRPr="00E72DCF">
        <w:rPr>
          <w:rFonts w:ascii="Calibri" w:hAnsi="Calibri" w:cs="Calibri"/>
        </w:rPr>
        <w:t>The eligible costs being in line with the terms of the offer</w:t>
      </w:r>
    </w:p>
    <w:p w14:paraId="1B0D1237" w14:textId="77777777" w:rsidR="007106CE" w:rsidRPr="00E72DCF" w:rsidRDefault="007106CE" w:rsidP="007106CE">
      <w:pPr>
        <w:numPr>
          <w:ilvl w:val="0"/>
          <w:numId w:val="6"/>
        </w:numPr>
        <w:contextualSpacing/>
        <w:rPr>
          <w:rFonts w:ascii="Calibri" w:hAnsi="Calibri" w:cs="Calibri"/>
        </w:rPr>
      </w:pPr>
      <w:r w:rsidRPr="00E72DCF">
        <w:rPr>
          <w:rFonts w:ascii="Calibri" w:hAnsi="Calibri" w:cs="Calibri"/>
        </w:rPr>
        <w:t>Compliance of the project with DNSH requirements</w:t>
      </w:r>
    </w:p>
    <w:p w14:paraId="5F807FF3" w14:textId="77777777" w:rsidR="007106CE" w:rsidRPr="00E72DCF" w:rsidRDefault="007106CE" w:rsidP="007106CE">
      <w:pPr>
        <w:numPr>
          <w:ilvl w:val="0"/>
          <w:numId w:val="6"/>
        </w:numPr>
        <w:contextualSpacing/>
        <w:rPr>
          <w:rFonts w:ascii="Calibri" w:hAnsi="Calibri" w:cs="Calibri"/>
        </w:rPr>
      </w:pPr>
      <w:r w:rsidRPr="00E72DCF">
        <w:rPr>
          <w:rFonts w:ascii="Calibri" w:hAnsi="Calibri" w:cs="Calibri"/>
        </w:rPr>
        <w:t>A Final report being provided in order to clear for payment.</w:t>
      </w:r>
    </w:p>
    <w:p w14:paraId="64742F0C" w14:textId="77777777" w:rsidR="00AE5B77" w:rsidRPr="00E72DCF" w:rsidRDefault="00AE5B77" w:rsidP="001F0A38">
      <w:pPr>
        <w:keepNext/>
        <w:keepLines/>
        <w:spacing w:before="40" w:after="0"/>
        <w:outlineLvl w:val="1"/>
        <w:rPr>
          <w:rFonts w:asciiTheme="majorHAnsi" w:eastAsiaTheme="majorEastAsia" w:hAnsiTheme="majorHAnsi" w:cstheme="majorBidi"/>
          <w:color w:val="2F5496" w:themeColor="accent1" w:themeShade="BF"/>
          <w:sz w:val="26"/>
          <w:szCs w:val="26"/>
          <w:lang w:val="en-US"/>
        </w:rPr>
      </w:pPr>
    </w:p>
    <w:p w14:paraId="70AF4DFC" w14:textId="7A31D2E2" w:rsidR="001F0A38" w:rsidRPr="00E72DCF" w:rsidRDefault="001F0A38" w:rsidP="001F0A38">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E72DCF">
        <w:rPr>
          <w:rFonts w:asciiTheme="majorHAnsi" w:eastAsiaTheme="majorEastAsia" w:hAnsiTheme="majorHAnsi" w:cstheme="majorBidi"/>
          <w:color w:val="2F5496" w:themeColor="accent1" w:themeShade="BF"/>
          <w:sz w:val="26"/>
          <w:szCs w:val="26"/>
          <w:lang w:val="en-US"/>
        </w:rPr>
        <w:t>Claims</w:t>
      </w:r>
      <w:r w:rsidR="00AE5B77" w:rsidRPr="00E72DCF">
        <w:rPr>
          <w:rFonts w:asciiTheme="majorHAnsi" w:eastAsiaTheme="majorEastAsia" w:hAnsiTheme="majorHAnsi" w:cstheme="majorBidi"/>
          <w:color w:val="2F5496" w:themeColor="accent1" w:themeShade="BF"/>
          <w:sz w:val="26"/>
          <w:szCs w:val="26"/>
          <w:lang w:val="en-US"/>
        </w:rPr>
        <w:t xml:space="preserve"> &amp; Final Claim date</w:t>
      </w:r>
    </w:p>
    <w:p w14:paraId="3EDC1D1D" w14:textId="77777777" w:rsidR="00AE5B77" w:rsidRPr="00E72DCF" w:rsidRDefault="001F0A38" w:rsidP="00AE5B77">
      <w:pPr>
        <w:numPr>
          <w:ilvl w:val="0"/>
          <w:numId w:val="6"/>
        </w:numPr>
        <w:contextualSpacing/>
        <w:rPr>
          <w:rFonts w:ascii="Calibri" w:hAnsi="Calibri" w:cs="Calibri"/>
        </w:rPr>
      </w:pPr>
      <w:r w:rsidRPr="00E72DCF">
        <w:rPr>
          <w:rFonts w:ascii="Calibri" w:hAnsi="Calibri" w:cs="Calibri"/>
        </w:rPr>
        <w:t xml:space="preserve">When the assignment is complete the claim with supporting documentation is submitted to </w:t>
      </w:r>
      <w:hyperlink r:id="rId14" w:history="1">
        <w:r w:rsidRPr="00E72DCF">
          <w:rPr>
            <w:rFonts w:ascii="Calibri" w:hAnsi="Calibri" w:cs="Calibri"/>
            <w:color w:val="0000FF"/>
            <w:u w:val="single"/>
          </w:rPr>
          <w:t>IndustryGrantClaims@enterprise-ireland.com</w:t>
        </w:r>
      </w:hyperlink>
      <w:r w:rsidRPr="00E72DCF">
        <w:rPr>
          <w:rFonts w:ascii="Calibri" w:hAnsi="Calibri" w:cs="Calibri"/>
        </w:rPr>
        <w:t xml:space="preserve"> </w:t>
      </w:r>
    </w:p>
    <w:p w14:paraId="5D148E90" w14:textId="3DBD3AED" w:rsidR="001F0A38" w:rsidRPr="00E72DCF" w:rsidRDefault="001F0A38" w:rsidP="00AE5B77">
      <w:pPr>
        <w:numPr>
          <w:ilvl w:val="0"/>
          <w:numId w:val="6"/>
        </w:numPr>
        <w:contextualSpacing/>
        <w:rPr>
          <w:rFonts w:ascii="Calibri" w:hAnsi="Calibri" w:cs="Calibri"/>
        </w:rPr>
      </w:pPr>
      <w:r w:rsidRPr="00E72DCF">
        <w:rPr>
          <w:rFonts w:ascii="Calibri" w:hAnsi="Calibri" w:cs="Calibri"/>
        </w:rPr>
        <w:t xml:space="preserve">Details of the claim process and documentation required are available </w:t>
      </w:r>
      <w:hyperlink r:id="rId15" w:history="1">
        <w:r w:rsidR="00EA0ED6" w:rsidRPr="00E72DCF">
          <w:rPr>
            <w:color w:val="0000FF"/>
            <w:u w:val="single"/>
          </w:rPr>
          <w:t>here</w:t>
        </w:r>
      </w:hyperlink>
    </w:p>
    <w:p w14:paraId="01925138" w14:textId="77777777" w:rsidR="00971CB9" w:rsidRPr="00E72DCF" w:rsidRDefault="00971CB9" w:rsidP="00971CB9">
      <w:pPr>
        <w:numPr>
          <w:ilvl w:val="0"/>
          <w:numId w:val="6"/>
        </w:numPr>
        <w:contextualSpacing/>
        <w:rPr>
          <w:rFonts w:ascii="Calibri" w:hAnsi="Calibri" w:cs="Calibri"/>
        </w:rPr>
      </w:pPr>
      <w:r w:rsidRPr="00E72DCF">
        <w:rPr>
          <w:rFonts w:ascii="Calibri" w:hAnsi="Calibri" w:cs="Calibri"/>
        </w:rPr>
        <w:t>One claim allowed per project</w:t>
      </w:r>
    </w:p>
    <w:p w14:paraId="65427DED" w14:textId="77777777" w:rsidR="00971CB9" w:rsidRPr="00E72DCF" w:rsidRDefault="00971CB9" w:rsidP="00971CB9">
      <w:pPr>
        <w:numPr>
          <w:ilvl w:val="0"/>
          <w:numId w:val="6"/>
        </w:numPr>
        <w:contextualSpacing/>
        <w:rPr>
          <w:rFonts w:ascii="Calibri" w:hAnsi="Calibri" w:cs="Calibri"/>
        </w:rPr>
      </w:pPr>
      <w:r w:rsidRPr="00E72DCF">
        <w:rPr>
          <w:rFonts w:ascii="Calibri" w:hAnsi="Calibri" w:cs="Calibri"/>
        </w:rPr>
        <w:t xml:space="preserve">One service provider per project </w:t>
      </w:r>
    </w:p>
    <w:p w14:paraId="6D564BF5" w14:textId="27F3094A" w:rsidR="00C05D29" w:rsidRPr="00E72DCF" w:rsidRDefault="00971CB9" w:rsidP="00C05D29">
      <w:pPr>
        <w:numPr>
          <w:ilvl w:val="0"/>
          <w:numId w:val="6"/>
        </w:numPr>
        <w:contextualSpacing/>
        <w:rPr>
          <w:rFonts w:ascii="Calibri" w:hAnsi="Calibri" w:cs="Calibri"/>
        </w:rPr>
      </w:pPr>
      <w:r w:rsidRPr="00E72DCF">
        <w:rPr>
          <w:rFonts w:ascii="Calibri" w:hAnsi="Calibri" w:cs="Calibri"/>
        </w:rPr>
        <w:t xml:space="preserve">Company is entitled to claim based on time spent once the project is completed </w:t>
      </w:r>
    </w:p>
    <w:p w14:paraId="047DDD49" w14:textId="0B25F041" w:rsidR="00971CB9" w:rsidRPr="00E72DCF" w:rsidRDefault="00971CB9" w:rsidP="00971CB9">
      <w:pPr>
        <w:numPr>
          <w:ilvl w:val="0"/>
          <w:numId w:val="6"/>
        </w:numPr>
        <w:contextualSpacing/>
        <w:rPr>
          <w:rFonts w:ascii="Calibri" w:hAnsi="Calibri" w:cs="Calibri"/>
        </w:rPr>
      </w:pPr>
      <w:bookmarkStart w:id="5" w:name="_Hlk176277525"/>
      <w:r w:rsidRPr="00E72DCF">
        <w:rPr>
          <w:rFonts w:ascii="Calibri" w:hAnsi="Calibri" w:cs="Calibri"/>
        </w:rPr>
        <w:t>Final Claim date is 6 months from approval date.</w:t>
      </w:r>
    </w:p>
    <w:bookmarkEnd w:id="5"/>
    <w:p w14:paraId="497E95C6" w14:textId="77777777" w:rsidR="00DC4BF5" w:rsidRPr="00E72DCF" w:rsidRDefault="00DC4BF5" w:rsidP="00F00476">
      <w:pPr>
        <w:contextualSpacing/>
        <w:rPr>
          <w:rFonts w:ascii="Calibri" w:hAnsi="Calibri" w:cs="Calibri"/>
        </w:rPr>
      </w:pPr>
    </w:p>
    <w:p w14:paraId="02471779" w14:textId="77777777" w:rsidR="00821279" w:rsidRPr="00E72DCF" w:rsidRDefault="00821279" w:rsidP="00F00476">
      <w:pPr>
        <w:contextualSpacing/>
        <w:rPr>
          <w:rFonts w:ascii="Calibri" w:hAnsi="Calibri" w:cs="Calibri"/>
        </w:rPr>
      </w:pPr>
    </w:p>
    <w:p w14:paraId="7A0269BE" w14:textId="77777777" w:rsidR="00821279" w:rsidRPr="00E72DCF" w:rsidRDefault="00821279" w:rsidP="00F00476">
      <w:pPr>
        <w:contextualSpacing/>
        <w:rPr>
          <w:rFonts w:ascii="Calibri" w:hAnsi="Calibri" w:cs="Calibri"/>
        </w:rPr>
      </w:pPr>
    </w:p>
    <w:p w14:paraId="6B9EDD42" w14:textId="683E633E" w:rsidR="00971CB9" w:rsidRPr="00E72DCF" w:rsidRDefault="00971CB9" w:rsidP="00C31EA8">
      <w:pPr>
        <w:keepNext/>
        <w:keepLines/>
        <w:spacing w:before="240" w:after="0"/>
        <w:outlineLvl w:val="0"/>
        <w:rPr>
          <w:rFonts w:asciiTheme="majorHAnsi" w:eastAsiaTheme="majorEastAsia" w:hAnsiTheme="majorHAnsi" w:cstheme="majorBidi"/>
          <w:color w:val="2F5496" w:themeColor="accent1" w:themeShade="BF"/>
          <w:sz w:val="32"/>
          <w:szCs w:val="32"/>
          <w:lang w:val="en-US"/>
        </w:rPr>
      </w:pPr>
      <w:proofErr w:type="spellStart"/>
      <w:r w:rsidRPr="00E72DCF">
        <w:rPr>
          <w:rFonts w:asciiTheme="majorHAnsi" w:eastAsiaTheme="majorEastAsia" w:hAnsiTheme="majorHAnsi" w:cstheme="majorBidi"/>
          <w:color w:val="2F5496" w:themeColor="accent1" w:themeShade="BF"/>
          <w:sz w:val="32"/>
          <w:szCs w:val="32"/>
          <w:lang w:val="en-US"/>
        </w:rPr>
        <w:t>GreenStart</w:t>
      </w:r>
      <w:proofErr w:type="spellEnd"/>
      <w:r w:rsidR="00805668" w:rsidRPr="00E72DCF">
        <w:rPr>
          <w:rFonts w:asciiTheme="majorHAnsi" w:eastAsiaTheme="majorEastAsia" w:hAnsiTheme="majorHAnsi" w:cstheme="majorBidi"/>
          <w:color w:val="2F5496" w:themeColor="accent1" w:themeShade="BF"/>
          <w:sz w:val="32"/>
          <w:szCs w:val="32"/>
          <w:lang w:val="en-US"/>
        </w:rPr>
        <w:t xml:space="preserve"> </w:t>
      </w:r>
    </w:p>
    <w:p w14:paraId="38AACAD7" w14:textId="6900DCA1" w:rsidR="006C262B" w:rsidRPr="00E72DCF" w:rsidRDefault="006C262B" w:rsidP="00C31EA8">
      <w:pPr>
        <w:keepNext/>
        <w:keepLines/>
        <w:spacing w:before="240" w:after="0"/>
        <w:outlineLvl w:val="0"/>
        <w:rPr>
          <w:rFonts w:asciiTheme="majorHAnsi" w:eastAsiaTheme="majorEastAsia" w:hAnsiTheme="majorHAnsi" w:cstheme="majorBidi"/>
          <w:color w:val="2F5496" w:themeColor="accent1" w:themeShade="BF"/>
          <w:sz w:val="32"/>
          <w:szCs w:val="32"/>
          <w:lang w:val="en-US"/>
        </w:rPr>
      </w:pPr>
      <w:r w:rsidRPr="00E72DCF">
        <w:rPr>
          <w:lang w:val="en-US"/>
        </w:rPr>
        <w:t>The Access Advice grant</w:t>
      </w:r>
      <w:r w:rsidR="008E2710" w:rsidRPr="00E72DCF">
        <w:rPr>
          <w:lang w:val="en-US"/>
        </w:rPr>
        <w:t xml:space="preserve"> </w:t>
      </w:r>
      <w:r w:rsidR="008D6F35" w:rsidRPr="00E72DCF">
        <w:rPr>
          <w:lang w:val="en-US"/>
        </w:rPr>
        <w:t>implemented in 01</w:t>
      </w:r>
      <w:r w:rsidR="00A87626" w:rsidRPr="00E72DCF">
        <w:rPr>
          <w:lang w:val="en-US"/>
        </w:rPr>
        <w:t xml:space="preserve"> August 2024 </w:t>
      </w:r>
      <w:r w:rsidRPr="00E72DCF">
        <w:rPr>
          <w:lang w:val="en-US"/>
        </w:rPr>
        <w:t xml:space="preserve">consolidates access to a number of existing grants including </w:t>
      </w:r>
      <w:proofErr w:type="spellStart"/>
      <w:r w:rsidRPr="00E72DCF">
        <w:rPr>
          <w:lang w:val="en-US"/>
        </w:rPr>
        <w:t>GreenStart</w:t>
      </w:r>
      <w:proofErr w:type="spellEnd"/>
      <w:r w:rsidRPr="00E72DCF">
        <w:rPr>
          <w:lang w:val="en-US"/>
        </w:rPr>
        <w:t xml:space="preserve"> under a </w:t>
      </w:r>
      <w:proofErr w:type="spellStart"/>
      <w:r w:rsidRPr="00E72DCF">
        <w:rPr>
          <w:lang w:val="en-US"/>
        </w:rPr>
        <w:t>harmonised</w:t>
      </w:r>
      <w:proofErr w:type="spellEnd"/>
      <w:r w:rsidRPr="00E72DCF">
        <w:rPr>
          <w:lang w:val="en-US"/>
        </w:rPr>
        <w:t xml:space="preserve"> and streamlined offer and process.</w:t>
      </w:r>
      <w:r w:rsidR="008E2710" w:rsidRPr="00E72DCF">
        <w:t xml:space="preserve"> </w:t>
      </w:r>
      <w:proofErr w:type="spellStart"/>
      <w:r w:rsidR="00A87626" w:rsidRPr="00E72DCF">
        <w:t>GreenStart</w:t>
      </w:r>
      <w:proofErr w:type="spellEnd"/>
      <w:r w:rsidR="00A87626" w:rsidRPr="00E72DCF">
        <w:t xml:space="preserve"> is hereafter referred to as </w:t>
      </w:r>
      <w:r w:rsidR="00C42681" w:rsidRPr="00E72DCF">
        <w:t>‘</w:t>
      </w:r>
      <w:r w:rsidR="00A87626" w:rsidRPr="00E72DCF">
        <w:t xml:space="preserve">Access Advice – </w:t>
      </w:r>
      <w:proofErr w:type="spellStart"/>
      <w:r w:rsidR="00A87626" w:rsidRPr="00E72DCF">
        <w:t>GreenStart</w:t>
      </w:r>
      <w:proofErr w:type="spellEnd"/>
      <w:r w:rsidR="00C42681" w:rsidRPr="00E72DCF">
        <w:t>’</w:t>
      </w:r>
      <w:r w:rsidR="00A87626" w:rsidRPr="00E72DCF">
        <w:t xml:space="preserve"> and </w:t>
      </w:r>
      <w:r w:rsidR="00C42681" w:rsidRPr="00E72DCF">
        <w:t xml:space="preserve">users are directed to the </w:t>
      </w:r>
      <w:proofErr w:type="spellStart"/>
      <w:r w:rsidR="00A87626" w:rsidRPr="00E72DCF">
        <w:t>the</w:t>
      </w:r>
      <w:proofErr w:type="spellEnd"/>
      <w:r w:rsidR="00602C1E" w:rsidRPr="00E72DCF">
        <w:t xml:space="preserve"> Access Adv</w:t>
      </w:r>
      <w:r w:rsidR="000818DA" w:rsidRPr="00E72DCF">
        <w:t>i</w:t>
      </w:r>
      <w:r w:rsidR="00602C1E" w:rsidRPr="00E72DCF">
        <w:t>ce Offer Terms of Reference</w:t>
      </w:r>
      <w:r w:rsidR="00C42681" w:rsidRPr="00E72DCF">
        <w:t>.</w:t>
      </w:r>
    </w:p>
    <w:p w14:paraId="2F967D44" w14:textId="77777777" w:rsidR="00274C55" w:rsidRDefault="00274C55" w:rsidP="00274C55">
      <w:pPr>
        <w:rPr>
          <w:highlight w:val="yellow"/>
          <w:lang w:val="en-US"/>
        </w:rPr>
      </w:pPr>
    </w:p>
    <w:p w14:paraId="68F6621A" w14:textId="77777777" w:rsidR="00E46D55" w:rsidRDefault="00E46D55" w:rsidP="00821279">
      <w:pPr>
        <w:contextualSpacing/>
        <w:rPr>
          <w:sz w:val="20"/>
          <w:szCs w:val="20"/>
          <w:lang w:val="en-US"/>
        </w:rPr>
      </w:pPr>
    </w:p>
    <w:p w14:paraId="5427BBA9" w14:textId="77777777" w:rsidR="00821279" w:rsidRDefault="00821279" w:rsidP="00821279">
      <w:pPr>
        <w:contextualSpacing/>
        <w:rPr>
          <w:sz w:val="20"/>
          <w:szCs w:val="20"/>
          <w:lang w:val="en-US"/>
        </w:rPr>
      </w:pPr>
    </w:p>
    <w:p w14:paraId="79907A33" w14:textId="77777777" w:rsidR="00821279" w:rsidRDefault="00821279" w:rsidP="00821279">
      <w:pPr>
        <w:contextualSpacing/>
        <w:rPr>
          <w:sz w:val="20"/>
          <w:szCs w:val="20"/>
          <w:lang w:val="en-US"/>
        </w:rPr>
      </w:pPr>
    </w:p>
    <w:p w14:paraId="34FA1E05" w14:textId="77777777" w:rsidR="00361AFC" w:rsidRDefault="00361AFC" w:rsidP="00821279">
      <w:pPr>
        <w:contextualSpacing/>
        <w:rPr>
          <w:sz w:val="20"/>
          <w:szCs w:val="20"/>
          <w:lang w:val="en-US"/>
        </w:rPr>
      </w:pPr>
    </w:p>
    <w:p w14:paraId="1B8221CF" w14:textId="77777777" w:rsidR="00361AFC" w:rsidRDefault="00361AFC" w:rsidP="00821279">
      <w:pPr>
        <w:contextualSpacing/>
        <w:rPr>
          <w:sz w:val="20"/>
          <w:szCs w:val="20"/>
          <w:lang w:val="en-US"/>
        </w:rPr>
      </w:pPr>
    </w:p>
    <w:p w14:paraId="4562572B" w14:textId="77777777" w:rsidR="00361AFC" w:rsidRDefault="00361AFC" w:rsidP="00821279">
      <w:pPr>
        <w:contextualSpacing/>
        <w:rPr>
          <w:sz w:val="20"/>
          <w:szCs w:val="20"/>
          <w:lang w:val="en-US"/>
        </w:rPr>
      </w:pPr>
    </w:p>
    <w:p w14:paraId="4AE28C32" w14:textId="77777777" w:rsidR="00D06532" w:rsidRPr="00C47E2E" w:rsidRDefault="00D06532" w:rsidP="00821279">
      <w:pPr>
        <w:contextualSpacing/>
        <w:rPr>
          <w:sz w:val="20"/>
          <w:szCs w:val="20"/>
          <w:lang w:val="en-US"/>
        </w:rPr>
      </w:pPr>
    </w:p>
    <w:p w14:paraId="06189F5E" w14:textId="4EBA97D4" w:rsidR="00971CB9" w:rsidRPr="00971CB9" w:rsidRDefault="00971CB9" w:rsidP="00FD0E52">
      <w:pPr>
        <w:keepNext/>
        <w:keepLines/>
        <w:spacing w:before="240" w:after="0"/>
        <w:outlineLvl w:val="0"/>
        <w:rPr>
          <w:rFonts w:asciiTheme="majorHAnsi" w:eastAsiaTheme="majorEastAsia" w:hAnsiTheme="majorHAnsi" w:cstheme="majorBidi"/>
          <w:color w:val="2F5496" w:themeColor="accent1" w:themeShade="BF"/>
          <w:sz w:val="32"/>
          <w:szCs w:val="32"/>
          <w:lang w:val="en-US"/>
        </w:rPr>
      </w:pPr>
      <w:proofErr w:type="spellStart"/>
      <w:r w:rsidRPr="00971CB9">
        <w:rPr>
          <w:rFonts w:asciiTheme="majorHAnsi" w:eastAsiaTheme="majorEastAsia" w:hAnsiTheme="majorHAnsi" w:cstheme="majorBidi"/>
          <w:color w:val="2F5496" w:themeColor="accent1" w:themeShade="BF"/>
          <w:sz w:val="32"/>
          <w:szCs w:val="32"/>
          <w:lang w:val="en-US"/>
        </w:rPr>
        <w:t>GreenPlus</w:t>
      </w:r>
      <w:proofErr w:type="spellEnd"/>
    </w:p>
    <w:p w14:paraId="79A67B76" w14:textId="77777777" w:rsidR="00971CB9" w:rsidRPr="00971CB9" w:rsidRDefault="00971CB9" w:rsidP="00971CB9">
      <w:pPr>
        <w:rPr>
          <w:sz w:val="4"/>
          <w:lang w:val="en-US"/>
        </w:rPr>
      </w:pPr>
    </w:p>
    <w:p w14:paraId="02DB656B"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Overview</w:t>
      </w:r>
    </w:p>
    <w:p w14:paraId="35CE5D9D" w14:textId="60BF0908" w:rsidR="00971CB9" w:rsidRPr="00971CB9" w:rsidRDefault="00971CB9" w:rsidP="00971CB9">
      <w:pPr>
        <w:rPr>
          <w:lang w:val="en-US"/>
        </w:rPr>
      </w:pPr>
      <w:r w:rsidRPr="00971CB9">
        <w:rPr>
          <w:lang w:val="en-US"/>
        </w:rPr>
        <w:t>A GreenPlus project is a medium-scale training project facilitated/assisted by an external environmental expert</w:t>
      </w:r>
      <w:r w:rsidR="00CD39F0">
        <w:rPr>
          <w:lang w:val="en-US"/>
        </w:rPr>
        <w:t>(s)</w:t>
      </w:r>
      <w:r w:rsidRPr="00971CB9">
        <w:rPr>
          <w:lang w:val="en-US"/>
        </w:rPr>
        <w:t xml:space="preserve">. The aim of the project shall be to develop a high level of environmental management capabilities, drive environmental efficiencies and achieve improved sustainability by establishing and embedding continuous </w:t>
      </w:r>
      <w:r w:rsidRPr="00971CB9">
        <w:rPr>
          <w:lang w:val="en-US"/>
        </w:rPr>
        <w:lastRenderedPageBreak/>
        <w:t>improvement systems and behaviours. This will increase the agility and resilience of client companies to climate change impacts.</w:t>
      </w:r>
    </w:p>
    <w:p w14:paraId="48EA1C2A" w14:textId="77777777" w:rsidR="00971CB9" w:rsidRPr="00971CB9" w:rsidRDefault="00971CB9" w:rsidP="00971CB9">
      <w:pPr>
        <w:rPr>
          <w:lang w:val="en-US"/>
        </w:rPr>
      </w:pPr>
      <w:r w:rsidRPr="00971CB9">
        <w:rPr>
          <w:lang w:val="en-US"/>
        </w:rPr>
        <w:t>In order to assist the change process within the company, the grant can also be used to cover part of the salary cost for up to 10 Green project team members over the project duration. The goal of the project team members is to develop and implement environmental best practice within the company by learning themselves and subsequently training others in environmental improvement tools and techniques. The project team members will be responsible for driving continuous environmental improvement and efficiency.</w:t>
      </w:r>
    </w:p>
    <w:p w14:paraId="1D866922" w14:textId="381A0F0A" w:rsidR="00821279" w:rsidRDefault="00971CB9" w:rsidP="004C5CE1">
      <w:pPr>
        <w:rPr>
          <w:lang w:val="en-US"/>
        </w:rPr>
      </w:pPr>
      <w:r w:rsidRPr="00971CB9">
        <w:rPr>
          <w:lang w:val="en-US"/>
        </w:rPr>
        <w:t xml:space="preserve">Projects may vary in size and scope but will typically be </w:t>
      </w:r>
      <w:r w:rsidR="00492AA4">
        <w:rPr>
          <w:lang w:val="en-US"/>
        </w:rPr>
        <w:t xml:space="preserve">6 – 9 </w:t>
      </w:r>
      <w:r w:rsidRPr="00971CB9">
        <w:rPr>
          <w:lang w:val="en-US"/>
        </w:rPr>
        <w:t xml:space="preserve">months in duration. </w:t>
      </w:r>
    </w:p>
    <w:p w14:paraId="58D52407" w14:textId="77777777" w:rsidR="00821279" w:rsidRPr="004C5CE1" w:rsidRDefault="00821279" w:rsidP="004C5CE1">
      <w:pPr>
        <w:rPr>
          <w:lang w:val="en-US"/>
        </w:rPr>
      </w:pPr>
    </w:p>
    <w:p w14:paraId="7B3A2FFB"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 xml:space="preserve">Eligible Costs  </w:t>
      </w:r>
    </w:p>
    <w:tbl>
      <w:tblPr>
        <w:tblStyle w:val="GridTable1Light-Accent11"/>
        <w:tblW w:w="10319" w:type="dxa"/>
        <w:tblLook w:val="0420" w:firstRow="1" w:lastRow="0" w:firstColumn="0" w:lastColumn="0" w:noHBand="0" w:noVBand="1"/>
      </w:tblPr>
      <w:tblGrid>
        <w:gridCol w:w="3256"/>
        <w:gridCol w:w="5774"/>
        <w:gridCol w:w="1289"/>
      </w:tblGrid>
      <w:tr w:rsidR="00971CB9" w:rsidRPr="00971CB9" w14:paraId="1A149EBA" w14:textId="77777777" w:rsidTr="009630F5">
        <w:trPr>
          <w:cnfStyle w:val="100000000000" w:firstRow="1" w:lastRow="0" w:firstColumn="0" w:lastColumn="0" w:oddVBand="0" w:evenVBand="0" w:oddHBand="0" w:evenHBand="0" w:firstRowFirstColumn="0" w:firstRowLastColumn="0" w:lastRowFirstColumn="0" w:lastRowLastColumn="0"/>
          <w:trHeight w:val="409"/>
        </w:trPr>
        <w:tc>
          <w:tcPr>
            <w:tcW w:w="3256" w:type="dxa"/>
          </w:tcPr>
          <w:p w14:paraId="024FAD8B" w14:textId="77777777" w:rsidR="00971CB9" w:rsidRPr="00971CB9" w:rsidRDefault="00971CB9" w:rsidP="00971CB9">
            <w:r w:rsidRPr="00971CB9">
              <w:t xml:space="preserve">Eligible Cost Elements  </w:t>
            </w:r>
          </w:p>
        </w:tc>
        <w:tc>
          <w:tcPr>
            <w:tcW w:w="5774" w:type="dxa"/>
          </w:tcPr>
          <w:p w14:paraId="45C15CA0" w14:textId="77777777" w:rsidR="00971CB9" w:rsidRPr="00971CB9" w:rsidRDefault="00971CB9" w:rsidP="00971CB9">
            <w:r w:rsidRPr="00971CB9">
              <w:t xml:space="preserve">Eligible Costs  </w:t>
            </w:r>
          </w:p>
        </w:tc>
        <w:tc>
          <w:tcPr>
            <w:tcW w:w="1289" w:type="dxa"/>
          </w:tcPr>
          <w:p w14:paraId="260B49A2" w14:textId="77777777" w:rsidR="00971CB9" w:rsidRPr="00971CB9" w:rsidRDefault="00971CB9" w:rsidP="00971CB9">
            <w:r w:rsidRPr="00971CB9">
              <w:t xml:space="preserve">Eligible Grant  </w:t>
            </w:r>
          </w:p>
        </w:tc>
      </w:tr>
      <w:tr w:rsidR="00971CB9" w:rsidRPr="00971CB9" w14:paraId="2D209923" w14:textId="77777777" w:rsidTr="009630F5">
        <w:trPr>
          <w:trHeight w:val="2666"/>
        </w:trPr>
        <w:tc>
          <w:tcPr>
            <w:tcW w:w="3256" w:type="dxa"/>
          </w:tcPr>
          <w:p w14:paraId="2419F501" w14:textId="77777777" w:rsidR="00971CB9" w:rsidRPr="00971CB9" w:rsidRDefault="00971CB9" w:rsidP="00971CB9">
            <w:r w:rsidRPr="00971CB9">
              <w:t>External and Internal Training and Advisory costs.</w:t>
            </w:r>
          </w:p>
          <w:p w14:paraId="12D8DA05" w14:textId="77777777" w:rsidR="00971CB9" w:rsidRPr="00971CB9" w:rsidRDefault="00971CB9" w:rsidP="00971CB9"/>
          <w:p w14:paraId="24309D34" w14:textId="77777777" w:rsidR="00971CB9" w:rsidRPr="00971CB9" w:rsidRDefault="00971CB9" w:rsidP="00971CB9"/>
          <w:p w14:paraId="780B8DE2" w14:textId="77777777" w:rsidR="00971CB9" w:rsidRPr="00971CB9" w:rsidRDefault="00971CB9" w:rsidP="00971CB9">
            <w:r w:rsidRPr="00971CB9">
              <w:t>External Green Training and Advisory costs provided by one or more Service Providers.</w:t>
            </w:r>
          </w:p>
          <w:p w14:paraId="6E4F0791" w14:textId="77777777" w:rsidR="00971CB9" w:rsidRPr="00971CB9" w:rsidRDefault="00971CB9" w:rsidP="00971CB9"/>
          <w:p w14:paraId="68E2383D" w14:textId="77777777" w:rsidR="00971CB9" w:rsidRPr="00971CB9" w:rsidRDefault="00971CB9" w:rsidP="00971CB9"/>
          <w:p w14:paraId="49947206" w14:textId="77777777" w:rsidR="00971CB9" w:rsidRPr="00971CB9" w:rsidRDefault="00971CB9" w:rsidP="00971CB9">
            <w:r w:rsidRPr="00971CB9">
              <w:t>Trainees’ (up to 10 company ‘Green project team members’) salary costs for the hours during which the trainees participate in the training.</w:t>
            </w:r>
          </w:p>
          <w:p w14:paraId="5EE71F4D" w14:textId="77777777" w:rsidR="00971CB9" w:rsidRPr="00971CB9" w:rsidRDefault="00971CB9" w:rsidP="00971CB9"/>
          <w:p w14:paraId="63A8C5FB" w14:textId="5887AAD9" w:rsidR="00971CB9" w:rsidRPr="00971CB9" w:rsidRDefault="00971CB9" w:rsidP="00971CB9"/>
        </w:tc>
        <w:tc>
          <w:tcPr>
            <w:tcW w:w="5774" w:type="dxa"/>
          </w:tcPr>
          <w:p w14:paraId="5CC0156F" w14:textId="77777777" w:rsidR="00971CB9" w:rsidRPr="00971CB9" w:rsidRDefault="00971CB9" w:rsidP="00971CB9">
            <w:r w:rsidRPr="00971CB9">
              <w:t>Up to €100,000 in eligible expenditure.</w:t>
            </w:r>
          </w:p>
          <w:p w14:paraId="500328B4" w14:textId="77777777" w:rsidR="00971CB9" w:rsidRPr="00971CB9" w:rsidRDefault="00971CB9" w:rsidP="00971CB9">
            <w:r w:rsidRPr="00971CB9">
              <w:t>Actual spend by the company on the project may be higher.</w:t>
            </w:r>
          </w:p>
          <w:p w14:paraId="243D5204" w14:textId="77777777" w:rsidR="00971CB9" w:rsidRPr="00971CB9" w:rsidRDefault="00971CB9" w:rsidP="00971CB9"/>
          <w:p w14:paraId="5F802803" w14:textId="6D5C68F0" w:rsidR="00971CB9" w:rsidRPr="00971CB9" w:rsidRDefault="00971CB9" w:rsidP="00971CB9">
            <w:r w:rsidRPr="00971CB9">
              <w:t xml:space="preserve">Eligible </w:t>
            </w:r>
            <w:r w:rsidRPr="00971CB9">
              <w:rPr>
                <w:lang w:val="ga-IE"/>
              </w:rPr>
              <w:t xml:space="preserve">external </w:t>
            </w:r>
            <w:r w:rsidRPr="00971CB9">
              <w:t>training costs are capped at €900 per day.</w:t>
            </w:r>
          </w:p>
          <w:p w14:paraId="528BDCA5" w14:textId="77777777" w:rsidR="00971CB9" w:rsidRPr="00971CB9" w:rsidRDefault="00971CB9" w:rsidP="00971CB9"/>
          <w:p w14:paraId="05750082" w14:textId="7DD699A6" w:rsidR="0056402B" w:rsidRDefault="00971CB9" w:rsidP="00971CB9">
            <w:r w:rsidRPr="00971CB9">
              <w:t>Up to 50% of the total project cost, subject to a combined maximum of 250 days</w:t>
            </w:r>
            <w:r w:rsidR="006453D2">
              <w:t>,</w:t>
            </w:r>
            <w:r w:rsidR="000004EE">
              <w:t xml:space="preserve"> with</w:t>
            </w:r>
            <w:r w:rsidR="00AD3CA8">
              <w:t xml:space="preserve"> </w:t>
            </w:r>
            <w:r w:rsidR="00AD3CA8" w:rsidRPr="00AD3CA8">
              <w:t xml:space="preserve">maximum number of </w:t>
            </w:r>
            <w:r w:rsidR="006453D2">
              <w:t xml:space="preserve">20 </w:t>
            </w:r>
            <w:r w:rsidR="00AD3CA8" w:rsidRPr="00AD3CA8">
              <w:t>trainee days per trainee for a supported project</w:t>
            </w:r>
            <w:r w:rsidR="006453D2">
              <w:t xml:space="preserve">, </w:t>
            </w:r>
            <w:r w:rsidR="00AD3CA8" w:rsidRPr="00AD3CA8">
              <w:t>with up to 5 people to be supported for up to 40 days</w:t>
            </w:r>
            <w:r w:rsidR="006453D2">
              <w:t xml:space="preserve">, </w:t>
            </w:r>
            <w:r w:rsidR="0056402B" w:rsidRPr="0056402B">
              <w:t>at a maximum assisted rate of €200 per day.</w:t>
            </w:r>
          </w:p>
          <w:p w14:paraId="273F8C0F" w14:textId="77777777" w:rsidR="0056402B" w:rsidRDefault="0056402B" w:rsidP="00971CB9"/>
          <w:p w14:paraId="3C05E555" w14:textId="544F6693" w:rsidR="000635AF" w:rsidRDefault="000635AF" w:rsidP="00971CB9">
            <w:r w:rsidRPr="000635AF">
              <w:t>Training Course fees where applicable for specialised external courses that drive the project goals.</w:t>
            </w:r>
          </w:p>
          <w:p w14:paraId="0F0F0C39" w14:textId="77777777" w:rsidR="000635AF" w:rsidRDefault="000635AF" w:rsidP="00971CB9"/>
          <w:p w14:paraId="2CBA5315" w14:textId="32732C5D" w:rsidR="009815F9" w:rsidRPr="009815F9" w:rsidRDefault="009815F9" w:rsidP="009815F9">
            <w:r w:rsidRPr="009815F9">
              <w:t>Materials costs are allowable where there are materials required for the training project that are not readily available. This can include:</w:t>
            </w:r>
          </w:p>
          <w:p w14:paraId="03121038" w14:textId="77777777" w:rsidR="009815F9" w:rsidRPr="009815F9" w:rsidRDefault="009815F9" w:rsidP="009815F9">
            <w:r w:rsidRPr="009815F9">
              <w:t xml:space="preserve">- costs of specific workbooks or other non-routine training materials </w:t>
            </w:r>
          </w:p>
          <w:p w14:paraId="6704E1AC" w14:textId="64751D96" w:rsidR="009815F9" w:rsidRDefault="009815F9" w:rsidP="009815F9">
            <w:r w:rsidRPr="009815F9">
              <w:t>- license costs for the use of</w:t>
            </w:r>
            <w:r w:rsidR="00EC71A8">
              <w:t xml:space="preserve"> </w:t>
            </w:r>
            <w:r w:rsidRPr="009815F9">
              <w:t>digital content (</w:t>
            </w:r>
            <w:r w:rsidR="00376696">
              <w:t>e.g.</w:t>
            </w:r>
            <w:r w:rsidR="008E349E">
              <w:t xml:space="preserve"> </w:t>
            </w:r>
            <w:r w:rsidRPr="009815F9">
              <w:t>e-learning</w:t>
            </w:r>
            <w:r w:rsidR="00FD6007">
              <w:t>/VR/AR</w:t>
            </w:r>
            <w:r w:rsidRPr="009815F9">
              <w:t>)</w:t>
            </w:r>
          </w:p>
          <w:p w14:paraId="65DCB084" w14:textId="77777777" w:rsidR="00CD0018" w:rsidRPr="009815F9" w:rsidRDefault="00CD0018" w:rsidP="009815F9"/>
          <w:p w14:paraId="41527F91" w14:textId="77777777" w:rsidR="009815F9" w:rsidRPr="009815F9" w:rsidRDefault="009815F9" w:rsidP="009815F9">
            <w:r w:rsidRPr="009815F9">
              <w:t>Materials costs are not allowed for:</w:t>
            </w:r>
          </w:p>
          <w:p w14:paraId="14F4C6BA" w14:textId="77777777" w:rsidR="009815F9" w:rsidRPr="009815F9" w:rsidRDefault="009815F9" w:rsidP="009815F9">
            <w:r w:rsidRPr="009815F9">
              <w:t>- general stationery (flipcharts, paper, photo-copying etc),</w:t>
            </w:r>
          </w:p>
          <w:p w14:paraId="0D789A60" w14:textId="77777777" w:rsidR="009815F9" w:rsidRPr="009815F9" w:rsidRDefault="009815F9" w:rsidP="009815F9">
            <w:r w:rsidRPr="009815F9">
              <w:t>- costs for Learning Management or other administrative platforms,</w:t>
            </w:r>
          </w:p>
          <w:p w14:paraId="5006D572" w14:textId="77777777" w:rsidR="007F561D" w:rsidRDefault="009815F9" w:rsidP="009815F9">
            <w:r w:rsidRPr="009815F9">
              <w:t>- the development of training content</w:t>
            </w:r>
          </w:p>
          <w:p w14:paraId="326A9B26" w14:textId="77777777" w:rsidR="000049D4" w:rsidRDefault="000049D4" w:rsidP="009815F9"/>
          <w:p w14:paraId="5A9C92D0" w14:textId="23483F2E" w:rsidR="000049D4" w:rsidRPr="00971CB9" w:rsidRDefault="000049D4" w:rsidP="009815F9">
            <w:r w:rsidRPr="000049D4">
              <w:t>Actual spend by the company on the project may be higher.</w:t>
            </w:r>
          </w:p>
        </w:tc>
        <w:tc>
          <w:tcPr>
            <w:tcW w:w="1289" w:type="dxa"/>
          </w:tcPr>
          <w:p w14:paraId="43B90C7B" w14:textId="77777777" w:rsidR="00971CB9" w:rsidRPr="00971CB9" w:rsidRDefault="00971CB9" w:rsidP="00971CB9">
            <w:r w:rsidRPr="00971CB9">
              <w:t>Up to 50% of eligible costs up to a maximum of €50,000</w:t>
            </w:r>
          </w:p>
        </w:tc>
      </w:tr>
    </w:tbl>
    <w:p w14:paraId="569F8E02" w14:textId="77777777" w:rsidR="00971CB9" w:rsidRPr="00971CB9" w:rsidRDefault="00971CB9" w:rsidP="00971CB9">
      <w:pPr>
        <w:rPr>
          <w:lang w:val="en-US"/>
        </w:rPr>
      </w:pPr>
    </w:p>
    <w:p w14:paraId="4217C8B4"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Ineligible Costs</w:t>
      </w:r>
    </w:p>
    <w:p w14:paraId="257B8366" w14:textId="77777777" w:rsidR="00971CB9" w:rsidRPr="00971CB9" w:rsidRDefault="00971CB9" w:rsidP="00971CB9">
      <w:pPr>
        <w:numPr>
          <w:ilvl w:val="0"/>
          <w:numId w:val="14"/>
        </w:numPr>
        <w:contextualSpacing/>
        <w:rPr>
          <w:rFonts w:ascii="Calibri" w:hAnsi="Calibri" w:cs="Calibri"/>
        </w:rPr>
      </w:pPr>
      <w:r w:rsidRPr="00971CB9">
        <w:rPr>
          <w:rFonts w:ascii="Calibri" w:hAnsi="Calibri" w:cs="Calibri"/>
        </w:rPr>
        <w:t>General Consultancy including Market research, IT implementation, financial review and planning, HR consulting or Health and Safety training.</w:t>
      </w:r>
    </w:p>
    <w:p w14:paraId="0E6CAA03" w14:textId="77777777" w:rsidR="00971CB9" w:rsidRPr="00971CB9" w:rsidRDefault="00971CB9" w:rsidP="00971CB9">
      <w:pPr>
        <w:numPr>
          <w:ilvl w:val="0"/>
          <w:numId w:val="14"/>
        </w:numPr>
        <w:contextualSpacing/>
        <w:rPr>
          <w:rFonts w:ascii="Calibri" w:hAnsi="Calibri" w:cs="Calibri"/>
        </w:rPr>
      </w:pPr>
      <w:r w:rsidRPr="00971CB9">
        <w:rPr>
          <w:rFonts w:ascii="Calibri" w:hAnsi="Calibri" w:cs="Calibri"/>
        </w:rPr>
        <w:t>Consultancy for design, installation or commissioning.</w:t>
      </w:r>
    </w:p>
    <w:p w14:paraId="42DEE1CE" w14:textId="77777777" w:rsidR="00C664BC" w:rsidRDefault="00971CB9" w:rsidP="00C664BC">
      <w:pPr>
        <w:numPr>
          <w:ilvl w:val="0"/>
          <w:numId w:val="14"/>
        </w:numPr>
        <w:contextualSpacing/>
        <w:rPr>
          <w:rFonts w:ascii="Calibri" w:hAnsi="Calibri" w:cs="Calibri"/>
        </w:rPr>
      </w:pPr>
      <w:r w:rsidRPr="00971CB9">
        <w:rPr>
          <w:rFonts w:ascii="Calibri" w:hAnsi="Calibri" w:cs="Calibri"/>
        </w:rPr>
        <w:t>Capital equipment, or travel and subsistence costs.</w:t>
      </w:r>
    </w:p>
    <w:p w14:paraId="30E95EB8" w14:textId="734AF63B" w:rsidR="00C664BC" w:rsidRPr="00C664BC" w:rsidRDefault="00C664BC" w:rsidP="00C664BC">
      <w:pPr>
        <w:numPr>
          <w:ilvl w:val="0"/>
          <w:numId w:val="14"/>
        </w:numPr>
        <w:contextualSpacing/>
        <w:rPr>
          <w:rFonts w:ascii="Calibri" w:hAnsi="Calibri" w:cs="Calibri"/>
        </w:rPr>
      </w:pPr>
      <w:r w:rsidRPr="00C664BC">
        <w:rPr>
          <w:rFonts w:ascii="Calibri" w:hAnsi="Calibri" w:cs="Calibri"/>
        </w:rPr>
        <w:lastRenderedPageBreak/>
        <w:t>Mandatory reports/sustainability statements and audits/external assurance required under the Corporate Sustainability Reporting Directive.</w:t>
      </w:r>
    </w:p>
    <w:p w14:paraId="768FCA00" w14:textId="77777777" w:rsidR="00F51438" w:rsidRPr="00971CB9" w:rsidRDefault="00F51438" w:rsidP="00F51438">
      <w:pPr>
        <w:ind w:left="360"/>
        <w:contextualSpacing/>
        <w:rPr>
          <w:rFonts w:ascii="Calibri" w:hAnsi="Calibri" w:cs="Calibri"/>
        </w:rPr>
      </w:pPr>
    </w:p>
    <w:p w14:paraId="46FBE1DB"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Eligible Companies</w:t>
      </w:r>
    </w:p>
    <w:p w14:paraId="53AFCE85" w14:textId="77777777" w:rsidR="000857EF" w:rsidRDefault="000857EF" w:rsidP="000857EF">
      <w:pPr>
        <w:contextualSpacing/>
        <w:rPr>
          <w:rFonts w:cstheme="minorHAnsi"/>
          <w:i/>
          <w:strike/>
          <w:color w:val="000000" w:themeColor="text1"/>
          <w:highlight w:val="yellow"/>
          <w:lang w:val="en-US"/>
        </w:rPr>
      </w:pPr>
    </w:p>
    <w:p w14:paraId="36B24313" w14:textId="7AE9163B" w:rsidR="00396EBF" w:rsidRPr="00396EBF" w:rsidRDefault="00396EBF" w:rsidP="00396EBF">
      <w:pPr>
        <w:contextualSpacing/>
        <w:rPr>
          <w:rFonts w:cstheme="minorHAnsi"/>
          <w:iCs/>
          <w:color w:val="000000" w:themeColor="text1"/>
          <w:lang w:val="en-US"/>
        </w:rPr>
      </w:pPr>
      <w:r w:rsidRPr="00396EBF">
        <w:rPr>
          <w:rFonts w:cstheme="minorHAnsi"/>
          <w:iCs/>
          <w:color w:val="000000" w:themeColor="text1"/>
          <w:lang w:val="en-US"/>
        </w:rPr>
        <w:t xml:space="preserve">The </w:t>
      </w:r>
      <w:proofErr w:type="spellStart"/>
      <w:r w:rsidRPr="00396EBF">
        <w:rPr>
          <w:rFonts w:cstheme="minorHAnsi"/>
          <w:iCs/>
          <w:color w:val="000000" w:themeColor="text1"/>
          <w:lang w:val="en-US"/>
        </w:rPr>
        <w:t>GreenPlus</w:t>
      </w:r>
      <w:proofErr w:type="spellEnd"/>
      <w:r w:rsidRPr="00396EBF">
        <w:rPr>
          <w:rFonts w:cstheme="minorHAnsi"/>
          <w:iCs/>
          <w:color w:val="000000" w:themeColor="text1"/>
          <w:lang w:val="en-US"/>
        </w:rPr>
        <w:t xml:space="preserve"> grant is open to companies who:</w:t>
      </w:r>
    </w:p>
    <w:p w14:paraId="4E4394DE" w14:textId="4723F3BD" w:rsidR="00396EBF" w:rsidRPr="00396EBF" w:rsidRDefault="00396EBF" w:rsidP="00396EBF">
      <w:pPr>
        <w:contextualSpacing/>
        <w:rPr>
          <w:rFonts w:cstheme="minorHAnsi"/>
          <w:iCs/>
          <w:color w:val="000000" w:themeColor="text1"/>
          <w:lang w:val="en-US"/>
        </w:rPr>
      </w:pPr>
      <w:r w:rsidRPr="00396EBF">
        <w:rPr>
          <w:rFonts w:cstheme="minorHAnsi"/>
          <w:iCs/>
          <w:color w:val="000000" w:themeColor="text1"/>
          <w:lang w:val="en-US"/>
        </w:rPr>
        <w:t>- Are existing and potential clients of Enterprise Ireland</w:t>
      </w:r>
      <w:r w:rsidR="00216BF4">
        <w:rPr>
          <w:rStyle w:val="FootnoteReference"/>
          <w:rFonts w:cstheme="minorHAnsi"/>
          <w:iCs/>
          <w:color w:val="000000" w:themeColor="text1"/>
          <w:lang w:val="en-US"/>
        </w:rPr>
        <w:footnoteReference w:id="4"/>
      </w:r>
      <w:r w:rsidRPr="00396EBF">
        <w:rPr>
          <w:rFonts w:cstheme="minorHAnsi"/>
          <w:iCs/>
          <w:color w:val="000000" w:themeColor="text1"/>
          <w:lang w:val="en-US"/>
        </w:rPr>
        <w:t xml:space="preserve"> or </w:t>
      </w:r>
      <w:proofErr w:type="spellStart"/>
      <w:r w:rsidRPr="00396EBF">
        <w:rPr>
          <w:rFonts w:cstheme="minorHAnsi"/>
          <w:iCs/>
          <w:color w:val="000000" w:themeColor="text1"/>
          <w:lang w:val="en-US"/>
        </w:rPr>
        <w:t>Údarás</w:t>
      </w:r>
      <w:proofErr w:type="spellEnd"/>
      <w:r w:rsidRPr="00396EBF">
        <w:rPr>
          <w:rFonts w:cstheme="minorHAnsi"/>
          <w:iCs/>
          <w:color w:val="000000" w:themeColor="text1"/>
          <w:lang w:val="en-US"/>
        </w:rPr>
        <w:t xml:space="preserve"> na </w:t>
      </w:r>
      <w:proofErr w:type="spellStart"/>
      <w:r w:rsidRPr="00396EBF">
        <w:rPr>
          <w:rFonts w:cstheme="minorHAnsi"/>
          <w:iCs/>
          <w:color w:val="000000" w:themeColor="text1"/>
          <w:lang w:val="en-US"/>
        </w:rPr>
        <w:t>Gaeltachta</w:t>
      </w:r>
      <w:proofErr w:type="spellEnd"/>
      <w:r w:rsidRPr="00396EBF">
        <w:rPr>
          <w:rFonts w:cstheme="minorHAnsi"/>
          <w:iCs/>
          <w:color w:val="000000" w:themeColor="text1"/>
          <w:lang w:val="en-US"/>
        </w:rPr>
        <w:t xml:space="preserve"> (Small, Medium or Large)</w:t>
      </w:r>
    </w:p>
    <w:p w14:paraId="55C39B4D" w14:textId="11B2ED94" w:rsidR="00396EBF" w:rsidRPr="00396EBF" w:rsidRDefault="00396EBF" w:rsidP="00396EBF">
      <w:pPr>
        <w:contextualSpacing/>
        <w:rPr>
          <w:rFonts w:cstheme="minorHAnsi"/>
          <w:iCs/>
          <w:color w:val="000000" w:themeColor="text1"/>
          <w:lang w:val="en-US"/>
        </w:rPr>
      </w:pPr>
      <w:r w:rsidRPr="00396EBF">
        <w:rPr>
          <w:rFonts w:cstheme="minorHAnsi"/>
          <w:iCs/>
          <w:color w:val="000000" w:themeColor="text1"/>
          <w:lang w:val="en-US"/>
        </w:rPr>
        <w:t xml:space="preserve">- Have the capability and commitment to successfully complete the </w:t>
      </w:r>
      <w:proofErr w:type="spellStart"/>
      <w:r w:rsidRPr="00396EBF">
        <w:rPr>
          <w:rFonts w:cstheme="minorHAnsi"/>
          <w:iCs/>
          <w:color w:val="000000" w:themeColor="text1"/>
          <w:lang w:val="en-US"/>
        </w:rPr>
        <w:t>GreenPlus</w:t>
      </w:r>
      <w:proofErr w:type="spellEnd"/>
      <w:r w:rsidRPr="00396EBF">
        <w:rPr>
          <w:rFonts w:cstheme="minorHAnsi"/>
          <w:iCs/>
          <w:color w:val="000000" w:themeColor="text1"/>
          <w:lang w:val="en-US"/>
        </w:rPr>
        <w:t xml:space="preserve"> assignment</w:t>
      </w:r>
    </w:p>
    <w:p w14:paraId="3947FBB6" w14:textId="77777777" w:rsidR="000857EF" w:rsidRPr="000857EF" w:rsidRDefault="000857EF" w:rsidP="000857EF">
      <w:pPr>
        <w:contextualSpacing/>
        <w:rPr>
          <w:rFonts w:cstheme="minorHAnsi"/>
          <w:i/>
          <w:strike/>
          <w:color w:val="000000" w:themeColor="text1"/>
          <w:lang w:val="en-US"/>
        </w:rPr>
      </w:pPr>
    </w:p>
    <w:p w14:paraId="135EBBDD" w14:textId="77777777" w:rsidR="00971CB9" w:rsidRPr="00971CB9" w:rsidRDefault="00971CB9" w:rsidP="00971CB9">
      <w:pPr>
        <w:contextualSpacing/>
        <w:rPr>
          <w:rFonts w:cstheme="minorHAnsi"/>
          <w:color w:val="000000" w:themeColor="text1"/>
          <w:lang w:val="en-US"/>
        </w:rPr>
      </w:pPr>
      <w:r w:rsidRPr="00971CB9">
        <w:rPr>
          <w:rFonts w:cstheme="minorHAnsi"/>
          <w:color w:val="000000" w:themeColor="text1"/>
          <w:lang w:val="en-US"/>
        </w:rPr>
        <w:t xml:space="preserve">A follow-on </w:t>
      </w:r>
      <w:proofErr w:type="spellStart"/>
      <w:r w:rsidRPr="00971CB9">
        <w:rPr>
          <w:rFonts w:cstheme="minorHAnsi"/>
          <w:color w:val="000000" w:themeColor="text1"/>
          <w:lang w:val="en-US"/>
        </w:rPr>
        <w:t>GreenPlus</w:t>
      </w:r>
      <w:proofErr w:type="spellEnd"/>
      <w:r w:rsidRPr="00971CB9">
        <w:rPr>
          <w:rFonts w:cstheme="minorHAnsi"/>
          <w:color w:val="000000" w:themeColor="text1"/>
          <w:lang w:val="en-US"/>
        </w:rPr>
        <w:t xml:space="preserve"> project MAY be approved subject to the project bringing the company on a further significant step up in terms of capability rather than effectively continuing on with similar or closely related work. </w:t>
      </w:r>
    </w:p>
    <w:p w14:paraId="3459DB36" w14:textId="77777777" w:rsidR="00971CB9" w:rsidRPr="00971CB9" w:rsidRDefault="00971CB9" w:rsidP="00971CB9">
      <w:pPr>
        <w:contextualSpacing/>
        <w:rPr>
          <w:rFonts w:cstheme="minorHAnsi"/>
          <w:color w:val="000000" w:themeColor="text1"/>
          <w:lang w:val="en-US"/>
        </w:rPr>
      </w:pPr>
    </w:p>
    <w:p w14:paraId="763B7CDB" w14:textId="77777777" w:rsidR="00971CB9" w:rsidRPr="00971CB9" w:rsidRDefault="00971CB9" w:rsidP="00971CB9">
      <w:pPr>
        <w:contextualSpacing/>
        <w:rPr>
          <w:rFonts w:cstheme="minorHAnsi"/>
          <w:color w:val="000000" w:themeColor="text1"/>
          <w:lang w:val="en-US"/>
        </w:rPr>
      </w:pPr>
      <w:r w:rsidRPr="00971CB9">
        <w:rPr>
          <w:rFonts w:cstheme="minorHAnsi"/>
          <w:color w:val="000000" w:themeColor="text1"/>
          <w:lang w:val="en-US"/>
        </w:rPr>
        <w:t xml:space="preserve">A concurrent GreenPlus project to a GreenStart/GreenPlus project under way MAY be approved in circumstances where the Green Desk, DA &amp; DM are satisfied as to the client rationale for carrying out concurrent projects. Every effort should be made by the client at the outset to scope out their green journey of activities to avoid concurrent projects. </w:t>
      </w:r>
    </w:p>
    <w:p w14:paraId="6331E062" w14:textId="77777777" w:rsidR="00971CB9" w:rsidRPr="00971CB9" w:rsidRDefault="00971CB9" w:rsidP="00971CB9">
      <w:pPr>
        <w:contextualSpacing/>
        <w:rPr>
          <w:rFonts w:cstheme="minorHAnsi"/>
          <w:color w:val="000000" w:themeColor="text1"/>
          <w:lang w:val="en-US"/>
        </w:rPr>
      </w:pPr>
    </w:p>
    <w:p w14:paraId="0B79EF23" w14:textId="77777777" w:rsidR="00971CB9" w:rsidRPr="00545E9D" w:rsidRDefault="00971CB9" w:rsidP="00971CB9">
      <w:pPr>
        <w:contextualSpacing/>
        <w:rPr>
          <w:rFonts w:cstheme="minorHAnsi"/>
          <w:color w:val="000000" w:themeColor="text1"/>
          <w:lang w:val="en-US"/>
        </w:rPr>
      </w:pPr>
      <w:r w:rsidRPr="00545E9D">
        <w:rPr>
          <w:rFonts w:cstheme="minorHAnsi"/>
          <w:color w:val="000000" w:themeColor="text1"/>
          <w:lang w:val="en-US"/>
        </w:rPr>
        <w:t>There is an absolute limit of 3 GreenPlus project approvals per company.</w:t>
      </w:r>
    </w:p>
    <w:p w14:paraId="40C14ECE" w14:textId="77777777" w:rsidR="00F02605" w:rsidRPr="00971CB9" w:rsidRDefault="00F02605" w:rsidP="00971CB9">
      <w:pPr>
        <w:contextualSpacing/>
        <w:rPr>
          <w:rFonts w:cstheme="minorHAnsi"/>
          <w:color w:val="000000" w:themeColor="text1"/>
          <w:lang w:val="en-US"/>
        </w:rPr>
      </w:pPr>
    </w:p>
    <w:p w14:paraId="5FD7DBE4"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Ineligible Companies</w:t>
      </w:r>
    </w:p>
    <w:p w14:paraId="771BB349" w14:textId="77777777" w:rsidR="00971CB9" w:rsidRPr="00971CB9" w:rsidRDefault="00971CB9" w:rsidP="00971CB9">
      <w:pPr>
        <w:numPr>
          <w:ilvl w:val="0"/>
          <w:numId w:val="3"/>
        </w:numPr>
        <w:contextualSpacing/>
        <w:rPr>
          <w:rFonts w:cstheme="minorHAnsi"/>
          <w:color w:val="000000" w:themeColor="text1"/>
          <w:lang w:val="en-US"/>
        </w:rPr>
      </w:pPr>
      <w:r w:rsidRPr="00971CB9">
        <w:rPr>
          <w:rFonts w:cstheme="minorHAnsi"/>
          <w:color w:val="000000" w:themeColor="text1"/>
          <w:lang w:val="en-US"/>
        </w:rPr>
        <w:t>HPSU clients in receipt of EI Investment funding are not eligible for a period of 3 years after the investment.</w:t>
      </w:r>
    </w:p>
    <w:p w14:paraId="7CB9E237" w14:textId="77777777" w:rsidR="00971CB9" w:rsidRDefault="00971CB9" w:rsidP="00971CB9">
      <w:pPr>
        <w:numPr>
          <w:ilvl w:val="0"/>
          <w:numId w:val="3"/>
        </w:numPr>
        <w:contextualSpacing/>
        <w:rPr>
          <w:rFonts w:cstheme="minorHAnsi"/>
          <w:color w:val="000000" w:themeColor="text1"/>
          <w:lang w:val="en-US"/>
        </w:rPr>
      </w:pPr>
      <w:r w:rsidRPr="00971CB9">
        <w:rPr>
          <w:rFonts w:cstheme="minorHAnsi"/>
          <w:color w:val="000000" w:themeColor="text1"/>
          <w:lang w:val="en-US"/>
        </w:rPr>
        <w:t>Clients of the Local Enterprise Offices are not eligible.</w:t>
      </w:r>
    </w:p>
    <w:p w14:paraId="36CEDEDE" w14:textId="77777777" w:rsidR="00F02605" w:rsidRPr="00971CB9" w:rsidRDefault="00F02605" w:rsidP="00F02605">
      <w:pPr>
        <w:ind w:left="360"/>
        <w:contextualSpacing/>
        <w:rPr>
          <w:rFonts w:cstheme="minorHAnsi"/>
          <w:color w:val="000000" w:themeColor="text1"/>
          <w:lang w:val="en-US"/>
        </w:rPr>
      </w:pPr>
    </w:p>
    <w:p w14:paraId="02284B00"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 xml:space="preserve">Irish Legal Basis  </w:t>
      </w:r>
    </w:p>
    <w:p w14:paraId="5ED1EB95" w14:textId="77777777" w:rsidR="00971CB9" w:rsidRPr="00971CB9" w:rsidRDefault="00971CB9" w:rsidP="00971CB9">
      <w:pPr>
        <w:numPr>
          <w:ilvl w:val="0"/>
          <w:numId w:val="3"/>
        </w:numPr>
        <w:contextualSpacing/>
        <w:rPr>
          <w:rFonts w:ascii="Calibri" w:hAnsi="Calibri" w:cs="Calibri"/>
        </w:rPr>
      </w:pPr>
      <w:r w:rsidRPr="00971CB9">
        <w:rPr>
          <w:rFonts w:ascii="Calibri" w:hAnsi="Calibri" w:cs="Calibri"/>
        </w:rPr>
        <w:t>Industrial Development Act 1998, Section 7 (Functions of Agency),</w:t>
      </w:r>
    </w:p>
    <w:p w14:paraId="36478FE5" w14:textId="77777777" w:rsidR="00971CB9" w:rsidRDefault="00971CB9" w:rsidP="00971CB9">
      <w:pPr>
        <w:numPr>
          <w:ilvl w:val="0"/>
          <w:numId w:val="3"/>
        </w:numPr>
        <w:contextualSpacing/>
        <w:rPr>
          <w:rFonts w:ascii="Calibri" w:hAnsi="Calibri" w:cs="Calibri"/>
        </w:rPr>
      </w:pPr>
      <w:r w:rsidRPr="00971CB9">
        <w:rPr>
          <w:rFonts w:ascii="Calibri" w:hAnsi="Calibri" w:cs="Calibri"/>
        </w:rPr>
        <w:t>Industrial Development Act 1986, Section 28 (Training grants)</w:t>
      </w:r>
    </w:p>
    <w:p w14:paraId="353F9CC2" w14:textId="77777777" w:rsidR="00F02605" w:rsidRPr="00971CB9" w:rsidRDefault="00F02605" w:rsidP="00F02605">
      <w:pPr>
        <w:ind w:left="360"/>
        <w:contextualSpacing/>
        <w:rPr>
          <w:rFonts w:ascii="Calibri" w:hAnsi="Calibri" w:cs="Calibri"/>
        </w:rPr>
      </w:pPr>
    </w:p>
    <w:p w14:paraId="726809B9"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 xml:space="preserve">EU State Aid Basis   </w:t>
      </w:r>
    </w:p>
    <w:p w14:paraId="1C49EDA1" w14:textId="2EBE3BE0" w:rsidR="00971CB9" w:rsidRDefault="009C1054" w:rsidP="00971CB9">
      <w:pPr>
        <w:numPr>
          <w:ilvl w:val="0"/>
          <w:numId w:val="3"/>
        </w:numPr>
        <w:contextualSpacing/>
        <w:rPr>
          <w:rFonts w:ascii="Calibri" w:hAnsi="Calibri" w:cs="Calibri"/>
        </w:rPr>
      </w:pPr>
      <w:r w:rsidRPr="009C1054">
        <w:rPr>
          <w:rFonts w:ascii="Calibri" w:hAnsi="Calibri" w:cs="Calibri"/>
        </w:rPr>
        <w:t xml:space="preserve">Commission Regulation (EU) No.651/2014 (the General Block Exemption) as amended by Commission Regulation (EU) No. 2023/1315 of 23rd June 2023. </w:t>
      </w:r>
      <w:r w:rsidR="00971CB9" w:rsidRPr="00971CB9">
        <w:rPr>
          <w:rFonts w:ascii="Calibri" w:hAnsi="Calibri" w:cs="Calibri"/>
        </w:rPr>
        <w:t>(Training aid) for SMEs or Large companies.</w:t>
      </w:r>
    </w:p>
    <w:p w14:paraId="5B56AEA6" w14:textId="77777777" w:rsidR="00F02605" w:rsidRPr="00971CB9" w:rsidRDefault="00F02605" w:rsidP="00F02605">
      <w:pPr>
        <w:ind w:left="360"/>
        <w:contextualSpacing/>
        <w:rPr>
          <w:rFonts w:ascii="Calibri" w:hAnsi="Calibri" w:cs="Calibri"/>
        </w:rPr>
      </w:pPr>
    </w:p>
    <w:p w14:paraId="5B2DF0DC"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bookmarkStart w:id="6" w:name="_Hlk146787772"/>
      <w:r w:rsidRPr="00971CB9">
        <w:rPr>
          <w:rFonts w:asciiTheme="majorHAnsi" w:eastAsiaTheme="majorEastAsia" w:hAnsiTheme="majorHAnsi" w:cstheme="majorBidi"/>
          <w:color w:val="2F5496" w:themeColor="accent1" w:themeShade="BF"/>
          <w:sz w:val="26"/>
          <w:szCs w:val="26"/>
          <w:lang w:val="en-US"/>
        </w:rPr>
        <w:t>Eligible Activities</w:t>
      </w:r>
    </w:p>
    <w:bookmarkEnd w:id="6"/>
    <w:p w14:paraId="0C7E0AAE" w14:textId="77777777" w:rsidR="00971CB9" w:rsidRPr="00971CB9" w:rsidRDefault="00971CB9" w:rsidP="00971CB9">
      <w:pPr>
        <w:rPr>
          <w:lang w:val="en-US"/>
        </w:rPr>
      </w:pPr>
      <w:r w:rsidRPr="00971CB9">
        <w:rPr>
          <w:lang w:val="en-US"/>
        </w:rPr>
        <w:t xml:space="preserve">Eligible activities relate primarily to training of company personnel either by the external training service provider(s) or by the in-company Project team members to others within the company. The external service providers may also provide advisory services linked to the training projects (e.g., advice and guidance on training programme implementation and appraisal as well as benchmarking or diagnostics as appropriate). </w:t>
      </w:r>
    </w:p>
    <w:p w14:paraId="5A6C781F" w14:textId="77777777" w:rsidR="00971CB9" w:rsidRPr="00971CB9" w:rsidRDefault="00971CB9" w:rsidP="00971CB9">
      <w:pPr>
        <w:rPr>
          <w:lang w:val="en-US"/>
        </w:rPr>
      </w:pPr>
      <w:r w:rsidRPr="00971CB9">
        <w:rPr>
          <w:lang w:val="en-US"/>
        </w:rPr>
        <w:t>Training will generally take the form of classroom-based instruction, workshops, demonstrations or simulations. This can also include practical hands-on activities, project-based training challenges and coaching if specified as part of a structured training programme. Training may also be delivered online or remotely using e-Learning, Conferencing, or Virtual / Augmented reality technologies for instance.</w:t>
      </w:r>
    </w:p>
    <w:p w14:paraId="0E491EF9" w14:textId="77777777" w:rsidR="00971CB9" w:rsidRPr="00971CB9" w:rsidRDefault="00971CB9" w:rsidP="00971CB9">
      <w:pPr>
        <w:rPr>
          <w:lang w:val="en-US"/>
        </w:rPr>
      </w:pPr>
      <w:r w:rsidRPr="00971CB9">
        <w:rPr>
          <w:lang w:val="en-US"/>
        </w:rPr>
        <w:t>For GreenPlus projects, assisted training may include;</w:t>
      </w:r>
    </w:p>
    <w:p w14:paraId="32984862" w14:textId="66A4C081" w:rsidR="002A77B4" w:rsidRPr="000165BE" w:rsidRDefault="00971CB9" w:rsidP="000165BE">
      <w:pPr>
        <w:numPr>
          <w:ilvl w:val="0"/>
          <w:numId w:val="8"/>
        </w:numPr>
        <w:ind w:left="357" w:right="340" w:hanging="357"/>
        <w:contextualSpacing/>
        <w:rPr>
          <w:rFonts w:ascii="Calibri" w:hAnsi="Calibri" w:cs="Calibri"/>
        </w:rPr>
      </w:pPr>
      <w:r w:rsidRPr="00971CB9">
        <w:rPr>
          <w:rFonts w:ascii="Calibri" w:hAnsi="Calibri" w:cs="Calibri"/>
        </w:rPr>
        <w:t>Applying international environmental best practices and standards to a level compatible with ISO 14001 (Environmental Management Systems Standard), ISO 50001 (Energy Management Standard), ISO 14064</w:t>
      </w:r>
      <w:r w:rsidR="00ED11E7">
        <w:rPr>
          <w:rFonts w:ascii="Calibri" w:hAnsi="Calibri" w:cs="Calibri"/>
        </w:rPr>
        <w:t>-1</w:t>
      </w:r>
      <w:r w:rsidRPr="00971CB9">
        <w:rPr>
          <w:rFonts w:ascii="Calibri" w:hAnsi="Calibri" w:cs="Calibri"/>
        </w:rPr>
        <w:t xml:space="preserve"> </w:t>
      </w:r>
      <w:r w:rsidR="004E7600">
        <w:rPr>
          <w:rFonts w:ascii="Calibri" w:hAnsi="Calibri" w:cs="Calibri"/>
        </w:rPr>
        <w:t>(</w:t>
      </w:r>
      <w:r w:rsidR="005021BB">
        <w:rPr>
          <w:rFonts w:ascii="Calibri" w:hAnsi="Calibri" w:cs="Calibri"/>
        </w:rPr>
        <w:t xml:space="preserve">Greenhouse Gases - </w:t>
      </w:r>
      <w:r w:rsidR="004E7600">
        <w:rPr>
          <w:rFonts w:ascii="Calibri" w:hAnsi="Calibri" w:cs="Calibri"/>
        </w:rPr>
        <w:t>Q</w:t>
      </w:r>
      <w:r w:rsidR="004E7600" w:rsidRPr="004E7600">
        <w:rPr>
          <w:rFonts w:ascii="Calibri" w:hAnsi="Calibri" w:cs="Calibri"/>
        </w:rPr>
        <w:t>uantification and reporting of greenhouse gas emissions and removals</w:t>
      </w:r>
      <w:r w:rsidR="004E7600">
        <w:rPr>
          <w:rFonts w:ascii="Calibri" w:hAnsi="Calibri" w:cs="Calibri"/>
        </w:rPr>
        <w:t>)</w:t>
      </w:r>
      <w:r w:rsidRPr="00971CB9">
        <w:rPr>
          <w:rFonts w:ascii="Calibri" w:hAnsi="Calibri" w:cs="Calibri"/>
        </w:rPr>
        <w:t xml:space="preserve">, GHG </w:t>
      </w:r>
      <w:r w:rsidRPr="00971CB9">
        <w:rPr>
          <w:rFonts w:ascii="Calibri" w:hAnsi="Calibri" w:cs="Calibri"/>
        </w:rPr>
        <w:lastRenderedPageBreak/>
        <w:t>protocol</w:t>
      </w:r>
      <w:r w:rsidR="00AB6A1E" w:rsidRPr="000165BE">
        <w:rPr>
          <w:rFonts w:ascii="Calibri" w:hAnsi="Calibri" w:cs="Calibri"/>
        </w:rPr>
        <w:t xml:space="preserve">, ISO 14083 </w:t>
      </w:r>
      <w:r w:rsidR="00895E57" w:rsidRPr="000165BE">
        <w:rPr>
          <w:rFonts w:ascii="Calibri" w:hAnsi="Calibri" w:cs="Calibri"/>
        </w:rPr>
        <w:t>(</w:t>
      </w:r>
      <w:r w:rsidR="005021BB" w:rsidRPr="000165BE">
        <w:rPr>
          <w:rFonts w:ascii="Calibri" w:hAnsi="Calibri" w:cs="Calibri"/>
        </w:rPr>
        <w:t xml:space="preserve">Greenhouse Gases - </w:t>
      </w:r>
      <w:r w:rsidR="00895E57" w:rsidRPr="000165BE">
        <w:rPr>
          <w:rFonts w:ascii="Calibri" w:hAnsi="Calibri" w:cs="Calibri"/>
        </w:rPr>
        <w:t xml:space="preserve">Quantification and reporting of greenhouse gas emissions arising from transport chain operations), </w:t>
      </w:r>
      <w:r w:rsidR="000165BE" w:rsidRPr="000165BE">
        <w:rPr>
          <w:rFonts w:ascii="Calibri" w:hAnsi="Calibri" w:cs="Calibri"/>
        </w:rPr>
        <w:t>Alliance for Water Stewardship (AWS)</w:t>
      </w:r>
      <w:r w:rsidR="000165BE">
        <w:rPr>
          <w:rFonts w:ascii="Calibri" w:hAnsi="Calibri" w:cs="Calibri"/>
        </w:rPr>
        <w:t xml:space="preserve">, </w:t>
      </w:r>
      <w:r w:rsidR="00895E57" w:rsidRPr="000165BE">
        <w:rPr>
          <w:rFonts w:ascii="Calibri" w:hAnsi="Calibri" w:cs="Calibri"/>
        </w:rPr>
        <w:t xml:space="preserve">LCA ISO standards </w:t>
      </w:r>
      <w:r w:rsidRPr="000165BE">
        <w:rPr>
          <w:rFonts w:ascii="Calibri" w:hAnsi="Calibri" w:cs="Calibri"/>
        </w:rPr>
        <w:t xml:space="preserve">or other relevant training around </w:t>
      </w:r>
      <w:r w:rsidR="001F0A82" w:rsidRPr="000165BE">
        <w:rPr>
          <w:rFonts w:ascii="Calibri" w:hAnsi="Calibri" w:cs="Calibri"/>
        </w:rPr>
        <w:t>circular economy</w:t>
      </w:r>
      <w:r w:rsidR="00C97F2B" w:rsidRPr="000165BE">
        <w:rPr>
          <w:rFonts w:ascii="Calibri" w:hAnsi="Calibri" w:cs="Calibri"/>
        </w:rPr>
        <w:t>,</w:t>
      </w:r>
      <w:r w:rsidR="001F0A82" w:rsidRPr="000165BE">
        <w:rPr>
          <w:rFonts w:ascii="Calibri" w:hAnsi="Calibri" w:cs="Calibri"/>
        </w:rPr>
        <w:t xml:space="preserve"> </w:t>
      </w:r>
      <w:r w:rsidRPr="000165BE">
        <w:rPr>
          <w:rFonts w:ascii="Calibri" w:hAnsi="Calibri" w:cs="Calibri"/>
        </w:rPr>
        <w:t>climate change resilience for the company</w:t>
      </w:r>
    </w:p>
    <w:p w14:paraId="57F66643" w14:textId="157BBA46" w:rsidR="00A50D2D" w:rsidRDefault="001D5BAB" w:rsidP="008335BA">
      <w:pPr>
        <w:numPr>
          <w:ilvl w:val="0"/>
          <w:numId w:val="8"/>
        </w:numPr>
        <w:spacing w:after="0" w:line="240" w:lineRule="auto"/>
        <w:ind w:left="357" w:right="340" w:hanging="357"/>
        <w:rPr>
          <w:rFonts w:ascii="Calibri" w:hAnsi="Calibri" w:cs="Calibri"/>
        </w:rPr>
      </w:pPr>
      <w:r w:rsidRPr="003946F4">
        <w:rPr>
          <w:rFonts w:ascii="Calibri" w:hAnsi="Calibri" w:cs="Calibri"/>
        </w:rPr>
        <w:t>Training and guidance and training with developing a Sustainability/</w:t>
      </w:r>
      <w:r w:rsidR="0026486D">
        <w:rPr>
          <w:rFonts w:ascii="Calibri" w:hAnsi="Calibri" w:cs="Calibri"/>
        </w:rPr>
        <w:t>ESG/</w:t>
      </w:r>
      <w:r w:rsidRPr="003946F4">
        <w:rPr>
          <w:rFonts w:ascii="Calibri" w:hAnsi="Calibri" w:cs="Calibri"/>
        </w:rPr>
        <w:t>Decarbonisation Strategy and Action Plan,</w:t>
      </w:r>
      <w:r w:rsidR="001F0A82">
        <w:rPr>
          <w:rFonts w:ascii="Calibri" w:hAnsi="Calibri" w:cs="Calibri"/>
        </w:rPr>
        <w:t xml:space="preserve"> </w:t>
      </w:r>
      <w:r w:rsidRPr="001F0A82">
        <w:rPr>
          <w:rFonts w:ascii="Calibri" w:hAnsi="Calibri" w:cs="Calibri"/>
        </w:rPr>
        <w:t>align</w:t>
      </w:r>
      <w:r w:rsidR="001F0A82">
        <w:rPr>
          <w:rFonts w:ascii="Calibri" w:hAnsi="Calibri" w:cs="Calibri"/>
        </w:rPr>
        <w:t>ed</w:t>
      </w:r>
      <w:r w:rsidRPr="001F0A82">
        <w:rPr>
          <w:rFonts w:ascii="Calibri" w:hAnsi="Calibri" w:cs="Calibri"/>
        </w:rPr>
        <w:t xml:space="preserve"> to Irish</w:t>
      </w:r>
      <w:r w:rsidR="000B333D">
        <w:rPr>
          <w:rFonts w:ascii="Calibri" w:hAnsi="Calibri" w:cs="Calibri"/>
        </w:rPr>
        <w:t>/global</w:t>
      </w:r>
      <w:r w:rsidRPr="001F0A82">
        <w:rPr>
          <w:rFonts w:ascii="Calibri" w:hAnsi="Calibri" w:cs="Calibri"/>
        </w:rPr>
        <w:t xml:space="preserve"> sustainability reporting initiatives, e.g., </w:t>
      </w:r>
      <w:r w:rsidR="00C534F7">
        <w:rPr>
          <w:rFonts w:ascii="Calibri" w:hAnsi="Calibri" w:cs="Calibri"/>
        </w:rPr>
        <w:t xml:space="preserve">Bord Bia </w:t>
      </w:r>
      <w:r w:rsidRPr="001F0A82">
        <w:rPr>
          <w:rFonts w:ascii="Calibri" w:hAnsi="Calibri" w:cs="Calibri"/>
        </w:rPr>
        <w:t xml:space="preserve">Origin Green, </w:t>
      </w:r>
      <w:r w:rsidR="000B333D" w:rsidRPr="001F0A82">
        <w:rPr>
          <w:rFonts w:ascii="Calibri" w:hAnsi="Calibri" w:cs="Calibri"/>
        </w:rPr>
        <w:t>UN Sustainable Development Goals,</w:t>
      </w:r>
      <w:r w:rsidR="000B333D">
        <w:rPr>
          <w:rFonts w:ascii="Calibri" w:hAnsi="Calibri" w:cs="Calibri"/>
        </w:rPr>
        <w:t xml:space="preserve"> Science Based Targets, SME Climate Hub,</w:t>
      </w:r>
      <w:r w:rsidR="000B333D" w:rsidRPr="001F0A82">
        <w:rPr>
          <w:rFonts w:ascii="Calibri" w:hAnsi="Calibri" w:cs="Calibri"/>
        </w:rPr>
        <w:t xml:space="preserve"> </w:t>
      </w:r>
      <w:r w:rsidRPr="001F0A82">
        <w:rPr>
          <w:rFonts w:ascii="Calibri" w:hAnsi="Calibri" w:cs="Calibri"/>
        </w:rPr>
        <w:t>CSRD with a focus on environmental activities</w:t>
      </w:r>
    </w:p>
    <w:p w14:paraId="0C3EA793" w14:textId="0FA8B868" w:rsidR="006A0E10" w:rsidRDefault="00A34B50" w:rsidP="008335BA">
      <w:pPr>
        <w:numPr>
          <w:ilvl w:val="0"/>
          <w:numId w:val="8"/>
        </w:numPr>
        <w:spacing w:after="0" w:line="240" w:lineRule="auto"/>
        <w:ind w:left="357" w:right="340" w:hanging="357"/>
        <w:rPr>
          <w:rFonts w:ascii="Calibri" w:hAnsi="Calibri" w:cs="Calibri"/>
        </w:rPr>
      </w:pPr>
      <w:r>
        <w:rPr>
          <w:rFonts w:ascii="Calibri" w:hAnsi="Calibri" w:cs="Calibri"/>
        </w:rPr>
        <w:t xml:space="preserve">Training to </w:t>
      </w:r>
      <w:r w:rsidR="007D7C64">
        <w:rPr>
          <w:rFonts w:ascii="Calibri" w:hAnsi="Calibri" w:cs="Calibri"/>
        </w:rPr>
        <w:t xml:space="preserve">carry out a </w:t>
      </w:r>
      <w:r w:rsidR="009050A9" w:rsidRPr="009050A9">
        <w:rPr>
          <w:rFonts w:ascii="Calibri" w:hAnsi="Calibri" w:cs="Calibri"/>
        </w:rPr>
        <w:t xml:space="preserve">stakeholder </w:t>
      </w:r>
      <w:r w:rsidR="007D7C64">
        <w:rPr>
          <w:rFonts w:ascii="Calibri" w:hAnsi="Calibri" w:cs="Calibri"/>
        </w:rPr>
        <w:t>Sustainability/</w:t>
      </w:r>
      <w:r w:rsidR="009050A9" w:rsidRPr="009050A9">
        <w:rPr>
          <w:rFonts w:ascii="Calibri" w:hAnsi="Calibri" w:cs="Calibri"/>
        </w:rPr>
        <w:t xml:space="preserve">ESG </w:t>
      </w:r>
      <w:r w:rsidR="00625C17">
        <w:rPr>
          <w:rFonts w:ascii="Calibri" w:hAnsi="Calibri" w:cs="Calibri"/>
        </w:rPr>
        <w:t xml:space="preserve">Prioritisation </w:t>
      </w:r>
      <w:r w:rsidR="009050A9" w:rsidRPr="009050A9">
        <w:rPr>
          <w:rFonts w:ascii="Calibri" w:hAnsi="Calibri" w:cs="Calibri"/>
        </w:rPr>
        <w:t>Assessment, development of KPIs, targets and timelines/roadmaps</w:t>
      </w:r>
      <w:r w:rsidR="00E90F7C" w:rsidRPr="00E90F7C">
        <w:t xml:space="preserve"> </w:t>
      </w:r>
      <w:r w:rsidR="00E90F7C" w:rsidRPr="00E90F7C">
        <w:rPr>
          <w:rFonts w:ascii="Calibri" w:hAnsi="Calibri" w:cs="Calibri"/>
        </w:rPr>
        <w:t>aligned with Irish and Global sustainability reporting initiatives</w:t>
      </w:r>
    </w:p>
    <w:p w14:paraId="061EAB4B" w14:textId="12B78FA9" w:rsidR="00A34B50" w:rsidRDefault="006A0E10" w:rsidP="008335BA">
      <w:pPr>
        <w:numPr>
          <w:ilvl w:val="0"/>
          <w:numId w:val="8"/>
        </w:numPr>
        <w:spacing w:after="0" w:line="240" w:lineRule="auto"/>
        <w:ind w:left="357" w:right="340" w:hanging="357"/>
        <w:rPr>
          <w:rFonts w:ascii="Calibri" w:hAnsi="Calibri" w:cs="Calibri"/>
        </w:rPr>
      </w:pPr>
      <w:r>
        <w:rPr>
          <w:rFonts w:ascii="Calibri" w:hAnsi="Calibri" w:cs="Calibri"/>
        </w:rPr>
        <w:t xml:space="preserve">Training to </w:t>
      </w:r>
      <w:r w:rsidR="009050A9" w:rsidRPr="009050A9">
        <w:rPr>
          <w:rFonts w:ascii="Calibri" w:hAnsi="Calibri" w:cs="Calibri"/>
        </w:rPr>
        <w:t>upskill</w:t>
      </w:r>
      <w:r w:rsidR="00855D7F">
        <w:rPr>
          <w:rFonts w:ascii="Calibri" w:hAnsi="Calibri" w:cs="Calibri"/>
        </w:rPr>
        <w:t xml:space="preserve"> </w:t>
      </w:r>
      <w:r w:rsidR="009050A9" w:rsidRPr="009050A9">
        <w:rPr>
          <w:rFonts w:ascii="Calibri" w:hAnsi="Calibri" w:cs="Calibri"/>
        </w:rPr>
        <w:t>teams to be able to</w:t>
      </w:r>
      <w:r w:rsidR="00F56C1B">
        <w:rPr>
          <w:rFonts w:ascii="Calibri" w:hAnsi="Calibri" w:cs="Calibri"/>
        </w:rPr>
        <w:t xml:space="preserve"> monitor</w:t>
      </w:r>
      <w:r w:rsidR="004807A1">
        <w:rPr>
          <w:rFonts w:ascii="Calibri" w:hAnsi="Calibri" w:cs="Calibri"/>
        </w:rPr>
        <w:t>,</w:t>
      </w:r>
      <w:r w:rsidR="00F56C1B">
        <w:rPr>
          <w:rFonts w:ascii="Calibri" w:hAnsi="Calibri" w:cs="Calibri"/>
        </w:rPr>
        <w:t xml:space="preserve"> measure</w:t>
      </w:r>
      <w:r w:rsidR="009050A9" w:rsidRPr="009050A9">
        <w:rPr>
          <w:rFonts w:ascii="Calibri" w:hAnsi="Calibri" w:cs="Calibri"/>
        </w:rPr>
        <w:t xml:space="preserve"> and report inhouse, aligned with </w:t>
      </w:r>
      <w:r w:rsidR="00BA6F8C">
        <w:rPr>
          <w:rFonts w:ascii="Calibri" w:hAnsi="Calibri" w:cs="Calibri"/>
        </w:rPr>
        <w:t>Irish and Global</w:t>
      </w:r>
      <w:r w:rsidR="00772115" w:rsidRPr="00772115">
        <w:t xml:space="preserve"> </w:t>
      </w:r>
      <w:r w:rsidR="00772115" w:rsidRPr="00772115">
        <w:rPr>
          <w:rFonts w:ascii="Calibri" w:hAnsi="Calibri" w:cs="Calibri"/>
        </w:rPr>
        <w:t>sustainability reporting initiatives</w:t>
      </w:r>
    </w:p>
    <w:p w14:paraId="6933E9F5" w14:textId="5E2B0DE7" w:rsidR="003C7DE3" w:rsidRDefault="003C7DE3" w:rsidP="008335BA">
      <w:pPr>
        <w:numPr>
          <w:ilvl w:val="0"/>
          <w:numId w:val="8"/>
        </w:numPr>
        <w:spacing w:after="0" w:line="240" w:lineRule="auto"/>
        <w:ind w:left="357" w:right="340" w:hanging="357"/>
        <w:rPr>
          <w:rFonts w:ascii="Calibri" w:hAnsi="Calibri" w:cs="Calibri"/>
        </w:rPr>
      </w:pPr>
      <w:r>
        <w:rPr>
          <w:rFonts w:ascii="Calibri" w:hAnsi="Calibri" w:cs="Calibri"/>
        </w:rPr>
        <w:t>Trainin</w:t>
      </w:r>
      <w:r w:rsidR="009E71D4">
        <w:rPr>
          <w:rFonts w:ascii="Calibri" w:hAnsi="Calibri" w:cs="Calibri"/>
        </w:rPr>
        <w:t xml:space="preserve">g on Climate Transition </w:t>
      </w:r>
      <w:r w:rsidR="003A105C" w:rsidRPr="003A105C">
        <w:rPr>
          <w:rFonts w:ascii="Calibri" w:hAnsi="Calibri" w:cs="Calibri"/>
        </w:rPr>
        <w:t>Strategic Planning</w:t>
      </w:r>
    </w:p>
    <w:p w14:paraId="10B2FB70" w14:textId="33CF652E" w:rsidR="002A77B4" w:rsidRDefault="001D5BAB" w:rsidP="008335BA">
      <w:pPr>
        <w:numPr>
          <w:ilvl w:val="0"/>
          <w:numId w:val="8"/>
        </w:numPr>
        <w:spacing w:after="0" w:line="240" w:lineRule="auto"/>
        <w:ind w:left="357" w:right="340" w:hanging="357"/>
        <w:rPr>
          <w:rFonts w:ascii="Calibri" w:hAnsi="Calibri" w:cs="Calibri"/>
        </w:rPr>
      </w:pPr>
      <w:r w:rsidRPr="00A50D2D">
        <w:rPr>
          <w:rFonts w:ascii="Calibri" w:hAnsi="Calibri" w:cs="Calibri"/>
        </w:rPr>
        <w:t>Training and guidance with a range of activities including</w:t>
      </w:r>
      <w:r w:rsidR="00C97F2B">
        <w:rPr>
          <w:rFonts w:ascii="Calibri" w:hAnsi="Calibri" w:cs="Calibri"/>
        </w:rPr>
        <w:t>;</w:t>
      </w:r>
      <w:r w:rsidRPr="00A50D2D">
        <w:rPr>
          <w:rFonts w:ascii="Calibri" w:hAnsi="Calibri" w:cs="Calibri"/>
        </w:rPr>
        <w:t xml:space="preserve"> Green Procurement</w:t>
      </w:r>
      <w:r w:rsidR="00AE4EF6">
        <w:rPr>
          <w:rFonts w:ascii="Calibri" w:hAnsi="Calibri" w:cs="Calibri"/>
        </w:rPr>
        <w:t xml:space="preserve"> and </w:t>
      </w:r>
      <w:r w:rsidRPr="00A50D2D">
        <w:rPr>
          <w:rFonts w:ascii="Calibri" w:hAnsi="Calibri" w:cs="Calibri"/>
        </w:rPr>
        <w:t>Tenders, Sustainable Packaging, Sustainable Logistics, Plastic Management, Communications, Employee and Customer Engagement.</w:t>
      </w:r>
    </w:p>
    <w:p w14:paraId="1A70B46C" w14:textId="42E21C25" w:rsidR="00193640" w:rsidRPr="006165D7" w:rsidRDefault="001D5BAB" w:rsidP="008335BA">
      <w:pPr>
        <w:numPr>
          <w:ilvl w:val="0"/>
          <w:numId w:val="8"/>
        </w:numPr>
        <w:spacing w:after="0" w:line="240" w:lineRule="auto"/>
        <w:ind w:left="357" w:right="340" w:hanging="357"/>
        <w:rPr>
          <w:rFonts w:ascii="Calibri" w:hAnsi="Calibri" w:cs="Calibri"/>
        </w:rPr>
      </w:pPr>
      <w:r w:rsidRPr="002A77B4">
        <w:rPr>
          <w:rFonts w:ascii="Calibri" w:hAnsi="Calibri" w:cs="Calibri"/>
        </w:rPr>
        <w:t xml:space="preserve">Training </w:t>
      </w:r>
      <w:r w:rsidRPr="006165D7">
        <w:rPr>
          <w:rFonts w:ascii="Calibri" w:hAnsi="Calibri" w:cs="Calibri"/>
        </w:rPr>
        <w:t>on evironmental tools &amp; techniques to support project goals</w:t>
      </w:r>
    </w:p>
    <w:p w14:paraId="46CF3369" w14:textId="77777777" w:rsidR="002A77B4" w:rsidRDefault="002A77B4" w:rsidP="004B457A">
      <w:pPr>
        <w:pStyle w:val="ListParagraph"/>
        <w:numPr>
          <w:ilvl w:val="0"/>
          <w:numId w:val="8"/>
        </w:numPr>
        <w:ind w:right="340"/>
        <w:rPr>
          <w:rFonts w:ascii="Calibri" w:hAnsi="Calibri" w:cs="Calibri"/>
        </w:rPr>
      </w:pPr>
      <w:bookmarkStart w:id="7" w:name="_Hlk146814054"/>
      <w:r w:rsidRPr="002A77B4">
        <w:rPr>
          <w:rFonts w:ascii="Calibri" w:hAnsi="Calibri" w:cs="Calibri"/>
        </w:rPr>
        <w:t>Specialised external courses that deliver the project goals such as Sustainabilty and Climate Change programmes or similar courses in Innovation related topics e.g Circular Economy/Ecodesign. This does not extend to more generic longer courses such as MBA programmes</w:t>
      </w:r>
    </w:p>
    <w:bookmarkEnd w:id="7"/>
    <w:p w14:paraId="29D0F314" w14:textId="1D76394B" w:rsidR="000F7FC9" w:rsidRDefault="002A77B4" w:rsidP="000F7FC9">
      <w:pPr>
        <w:pStyle w:val="ListParagraph"/>
        <w:numPr>
          <w:ilvl w:val="0"/>
          <w:numId w:val="8"/>
        </w:numPr>
        <w:rPr>
          <w:rFonts w:ascii="Calibri" w:hAnsi="Calibri" w:cs="Calibri"/>
        </w:rPr>
      </w:pPr>
      <w:r w:rsidRPr="002A77B4">
        <w:rPr>
          <w:rFonts w:ascii="Calibri" w:hAnsi="Calibri" w:cs="Calibri"/>
        </w:rPr>
        <w:t>Training on Lean or other similar process methodologies</w:t>
      </w:r>
    </w:p>
    <w:p w14:paraId="49FA4E2A" w14:textId="49C6311B" w:rsidR="000F7FC9" w:rsidRPr="000F7FC9" w:rsidRDefault="000F7FC9" w:rsidP="000F7FC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Pr>
          <w:rFonts w:asciiTheme="majorHAnsi" w:eastAsiaTheme="majorEastAsia" w:hAnsiTheme="majorHAnsi" w:cstheme="majorBidi"/>
          <w:color w:val="2F5496" w:themeColor="accent1" w:themeShade="BF"/>
          <w:sz w:val="26"/>
          <w:szCs w:val="26"/>
          <w:lang w:val="en-US"/>
        </w:rPr>
        <w:t>Ine</w:t>
      </w:r>
      <w:r w:rsidRPr="000F7FC9">
        <w:rPr>
          <w:rFonts w:asciiTheme="majorHAnsi" w:eastAsiaTheme="majorEastAsia" w:hAnsiTheme="majorHAnsi" w:cstheme="majorBidi"/>
          <w:color w:val="2F5496" w:themeColor="accent1" w:themeShade="BF"/>
          <w:sz w:val="26"/>
          <w:szCs w:val="26"/>
          <w:lang w:val="en-US"/>
        </w:rPr>
        <w:t>ligible Activities</w:t>
      </w:r>
    </w:p>
    <w:p w14:paraId="373AD6DD" w14:textId="198813A0" w:rsidR="001D25D9" w:rsidRPr="001D25D9" w:rsidRDefault="001D25D9" w:rsidP="001D25D9">
      <w:pPr>
        <w:pStyle w:val="ListParagraph"/>
        <w:numPr>
          <w:ilvl w:val="0"/>
          <w:numId w:val="8"/>
        </w:numPr>
        <w:rPr>
          <w:rFonts w:ascii="Calibri" w:hAnsi="Calibri" w:cs="Calibri"/>
        </w:rPr>
      </w:pPr>
      <w:r w:rsidRPr="001D25D9">
        <w:rPr>
          <w:rFonts w:ascii="Calibri" w:hAnsi="Calibri" w:cs="Calibri"/>
        </w:rPr>
        <w:t xml:space="preserve">Mandatory reports/sustainability statements and audits/external assurance required under </w:t>
      </w:r>
      <w:r>
        <w:rPr>
          <w:rFonts w:ascii="Calibri" w:hAnsi="Calibri" w:cs="Calibri"/>
        </w:rPr>
        <w:t xml:space="preserve">the </w:t>
      </w:r>
      <w:r w:rsidRPr="001D25D9">
        <w:rPr>
          <w:rFonts w:ascii="Calibri" w:hAnsi="Calibri" w:cs="Calibri"/>
        </w:rPr>
        <w:t>Corporate Sustainability Reporting Directive.</w:t>
      </w:r>
    </w:p>
    <w:p w14:paraId="4A1A8297" w14:textId="6A902726" w:rsidR="00030D2F" w:rsidRPr="00030D2F" w:rsidRDefault="00605DC6" w:rsidP="00030D2F">
      <w:pPr>
        <w:pStyle w:val="ListParagraph"/>
        <w:numPr>
          <w:ilvl w:val="0"/>
          <w:numId w:val="8"/>
        </w:numPr>
        <w:rPr>
          <w:rFonts w:ascii="Calibri" w:hAnsi="Calibri" w:cs="Calibri"/>
        </w:rPr>
      </w:pPr>
      <w:r>
        <w:rPr>
          <w:rFonts w:ascii="Calibri" w:hAnsi="Calibri" w:cs="Calibri"/>
        </w:rPr>
        <w:t>T</w:t>
      </w:r>
      <w:r w:rsidR="00030D2F" w:rsidRPr="00030D2F">
        <w:rPr>
          <w:rFonts w:ascii="Calibri" w:hAnsi="Calibri" w:cs="Calibri"/>
        </w:rPr>
        <w:t xml:space="preserve">raining required solely to comply with national mandatory standards (e.g. health &amp; safety, first </w:t>
      </w:r>
    </w:p>
    <w:p w14:paraId="5DF15047" w14:textId="1C5AD980" w:rsidR="00314CFE" w:rsidRDefault="00030D2F" w:rsidP="00B11DF9">
      <w:pPr>
        <w:pStyle w:val="ListParagraph"/>
        <w:ind w:left="360"/>
        <w:rPr>
          <w:rFonts w:ascii="Calibri" w:hAnsi="Calibri" w:cs="Calibri"/>
        </w:rPr>
      </w:pPr>
      <w:r w:rsidRPr="00030D2F">
        <w:rPr>
          <w:rFonts w:ascii="Calibri" w:hAnsi="Calibri" w:cs="Calibri"/>
        </w:rPr>
        <w:t>aid, manual handling). See European Commission State Aid rules</w:t>
      </w:r>
      <w:r w:rsidR="00A4208B">
        <w:rPr>
          <w:rStyle w:val="FootnoteReference"/>
          <w:rFonts w:ascii="Calibri" w:hAnsi="Calibri" w:cs="Calibri"/>
        </w:rPr>
        <w:footnoteReference w:id="5"/>
      </w:r>
    </w:p>
    <w:p w14:paraId="07F8E5E0" w14:textId="3F41D6CA" w:rsidR="00030D2F" w:rsidRPr="00314CFE" w:rsidRDefault="00613AC0" w:rsidP="00314CFE">
      <w:pPr>
        <w:pStyle w:val="ListParagraph"/>
        <w:numPr>
          <w:ilvl w:val="0"/>
          <w:numId w:val="8"/>
        </w:numPr>
        <w:rPr>
          <w:rFonts w:ascii="Calibri" w:hAnsi="Calibri" w:cs="Calibri"/>
        </w:rPr>
      </w:pPr>
      <w:r>
        <w:rPr>
          <w:rFonts w:ascii="Calibri" w:hAnsi="Calibri" w:cs="Calibri"/>
        </w:rPr>
        <w:t>T</w:t>
      </w:r>
      <w:r w:rsidR="00030D2F" w:rsidRPr="00314CFE">
        <w:rPr>
          <w:rFonts w:ascii="Calibri" w:hAnsi="Calibri" w:cs="Calibri"/>
        </w:rPr>
        <w:t xml:space="preserve">raining that would be carried out anyway in the normal business or operations of the company </w:t>
      </w:r>
    </w:p>
    <w:p w14:paraId="7297832F" w14:textId="77777777" w:rsidR="00030D2F" w:rsidRPr="00030D2F" w:rsidRDefault="00030D2F" w:rsidP="00030D2F">
      <w:pPr>
        <w:pStyle w:val="ListParagraph"/>
        <w:numPr>
          <w:ilvl w:val="0"/>
          <w:numId w:val="8"/>
        </w:numPr>
        <w:rPr>
          <w:rFonts w:ascii="Calibri" w:hAnsi="Calibri" w:cs="Calibri"/>
        </w:rPr>
      </w:pPr>
      <w:r w:rsidRPr="00030D2F">
        <w:rPr>
          <w:rFonts w:ascii="Calibri" w:hAnsi="Calibri" w:cs="Calibri"/>
        </w:rPr>
        <w:t xml:space="preserve">(e.g. company induction, market/industry overview, information/briefing sessions, basic internal company </w:t>
      </w:r>
    </w:p>
    <w:p w14:paraId="4F9B19CF" w14:textId="77777777" w:rsidR="00030D2F" w:rsidRPr="00030D2F" w:rsidRDefault="00030D2F" w:rsidP="00605DC6">
      <w:pPr>
        <w:pStyle w:val="ListParagraph"/>
        <w:ind w:left="360"/>
        <w:rPr>
          <w:rFonts w:ascii="Calibri" w:hAnsi="Calibri" w:cs="Calibri"/>
        </w:rPr>
      </w:pPr>
      <w:r w:rsidRPr="00030D2F">
        <w:rPr>
          <w:rFonts w:ascii="Calibri" w:hAnsi="Calibri" w:cs="Calibri"/>
        </w:rPr>
        <w:t xml:space="preserve">systems training, etc.). This is required to satisfy the need for an incentive effect for State Aid support. So, any </w:t>
      </w:r>
    </w:p>
    <w:p w14:paraId="0C39FB16" w14:textId="77777777" w:rsidR="00030D2F" w:rsidRPr="00030D2F" w:rsidRDefault="00030D2F" w:rsidP="00223DD6">
      <w:pPr>
        <w:pStyle w:val="ListParagraph"/>
        <w:ind w:left="360"/>
        <w:rPr>
          <w:rFonts w:ascii="Calibri" w:hAnsi="Calibri" w:cs="Calibri"/>
        </w:rPr>
      </w:pPr>
      <w:r w:rsidRPr="00030D2F">
        <w:rPr>
          <w:rFonts w:ascii="Calibri" w:hAnsi="Calibri" w:cs="Calibri"/>
        </w:rPr>
        <w:t xml:space="preserve">State Aid support must be additional to what would happen anyway in the company. </w:t>
      </w:r>
    </w:p>
    <w:p w14:paraId="1D5A5930" w14:textId="77777777" w:rsidR="00605DC6" w:rsidRDefault="00030D2F" w:rsidP="00605DC6">
      <w:pPr>
        <w:pStyle w:val="ListParagraph"/>
        <w:numPr>
          <w:ilvl w:val="0"/>
          <w:numId w:val="8"/>
        </w:numPr>
        <w:rPr>
          <w:rFonts w:ascii="Calibri" w:hAnsi="Calibri" w:cs="Calibri"/>
        </w:rPr>
      </w:pPr>
      <w:r w:rsidRPr="00030D2F">
        <w:rPr>
          <w:rFonts w:ascii="Calibri" w:hAnsi="Calibri" w:cs="Calibri"/>
        </w:rPr>
        <w:t xml:space="preserve">Training Aid may not be used to subsidise the normal operations of the </w:t>
      </w:r>
      <w:r w:rsidRPr="00605DC6">
        <w:rPr>
          <w:rFonts w:ascii="Calibri" w:hAnsi="Calibri" w:cs="Calibri"/>
        </w:rPr>
        <w:t xml:space="preserve">business as that would have the effect of distorting the market. </w:t>
      </w:r>
    </w:p>
    <w:p w14:paraId="653214E2" w14:textId="0BB0D937" w:rsidR="004F7AF0" w:rsidRDefault="00613AC0" w:rsidP="004F7AF0">
      <w:pPr>
        <w:pStyle w:val="ListParagraph"/>
        <w:numPr>
          <w:ilvl w:val="0"/>
          <w:numId w:val="8"/>
        </w:numPr>
        <w:rPr>
          <w:rFonts w:ascii="Calibri" w:hAnsi="Calibri" w:cs="Calibri"/>
        </w:rPr>
      </w:pPr>
      <w:r>
        <w:rPr>
          <w:rFonts w:ascii="Calibri" w:hAnsi="Calibri" w:cs="Calibri"/>
        </w:rPr>
        <w:t xml:space="preserve">Training </w:t>
      </w:r>
      <w:r w:rsidR="00030D2F" w:rsidRPr="00605DC6">
        <w:rPr>
          <w:rFonts w:ascii="Calibri" w:hAnsi="Calibri" w:cs="Calibri"/>
        </w:rPr>
        <w:t>already supported with State funding (Skillnet training for instance</w:t>
      </w:r>
      <w:r w:rsidR="00A4208B">
        <w:rPr>
          <w:rStyle w:val="FootnoteReference"/>
          <w:rFonts w:ascii="Calibri" w:hAnsi="Calibri" w:cs="Calibri"/>
        </w:rPr>
        <w:footnoteReference w:id="6"/>
      </w:r>
      <w:r w:rsidR="00423888">
        <w:rPr>
          <w:rFonts w:ascii="Calibri" w:hAnsi="Calibri" w:cs="Calibri"/>
        </w:rPr>
        <w:t>)</w:t>
      </w:r>
    </w:p>
    <w:p w14:paraId="45E2EFCA" w14:textId="77777777" w:rsidR="00B15878" w:rsidRDefault="00B15878" w:rsidP="00B15878">
      <w:pPr>
        <w:pStyle w:val="ListParagraph"/>
        <w:ind w:left="360"/>
        <w:rPr>
          <w:rFonts w:ascii="Calibri" w:hAnsi="Calibri" w:cs="Calibri"/>
        </w:rPr>
      </w:pPr>
    </w:p>
    <w:p w14:paraId="1D3EEC42" w14:textId="77777777" w:rsidR="00B15878" w:rsidRDefault="00B15878" w:rsidP="00B15878">
      <w:pPr>
        <w:pStyle w:val="ListParagraph"/>
        <w:ind w:left="360"/>
        <w:rPr>
          <w:rFonts w:ascii="Calibri" w:hAnsi="Calibri" w:cs="Calibri"/>
        </w:rPr>
      </w:pPr>
    </w:p>
    <w:p w14:paraId="4D09C7AC" w14:textId="77777777" w:rsidR="00B15878" w:rsidRDefault="00B15878" w:rsidP="00B15878">
      <w:pPr>
        <w:pStyle w:val="ListParagraph"/>
        <w:ind w:left="360"/>
        <w:rPr>
          <w:rFonts w:ascii="Calibri" w:hAnsi="Calibri" w:cs="Calibri"/>
        </w:rPr>
      </w:pPr>
    </w:p>
    <w:p w14:paraId="05C7AF08" w14:textId="77777777" w:rsidR="00CC596D" w:rsidRPr="00E265FA" w:rsidRDefault="00CC596D" w:rsidP="00CC596D">
      <w:pPr>
        <w:rPr>
          <w:rFonts w:asciiTheme="majorHAnsi" w:hAnsiTheme="majorHAnsi" w:cstheme="majorHAnsi"/>
          <w:color w:val="2F5496" w:themeColor="accent1" w:themeShade="BF"/>
          <w:sz w:val="26"/>
          <w:szCs w:val="26"/>
        </w:rPr>
      </w:pPr>
      <w:r w:rsidRPr="00E265FA">
        <w:rPr>
          <w:rFonts w:asciiTheme="majorHAnsi" w:hAnsiTheme="majorHAnsi" w:cstheme="majorHAnsi"/>
          <w:color w:val="2F5496" w:themeColor="accent1" w:themeShade="BF"/>
          <w:sz w:val="26"/>
          <w:szCs w:val="26"/>
        </w:rPr>
        <w:t>Training Delivery;</w:t>
      </w:r>
    </w:p>
    <w:p w14:paraId="589289DD" w14:textId="77777777" w:rsidR="00CC596D" w:rsidRDefault="00CC596D" w:rsidP="00CC596D">
      <w:pPr>
        <w:numPr>
          <w:ilvl w:val="0"/>
          <w:numId w:val="3"/>
        </w:numPr>
        <w:contextualSpacing/>
        <w:rPr>
          <w:rFonts w:ascii="Calibri" w:hAnsi="Calibri" w:cstheme="minorHAnsi"/>
        </w:rPr>
      </w:pPr>
      <w:r w:rsidRPr="00E265FA">
        <w:t>Training courses or activities must be structured, with predefined learning objectives as part of a training</w:t>
      </w:r>
      <w:r>
        <w:t xml:space="preserve"> </w:t>
      </w:r>
      <w:r w:rsidRPr="00E265FA">
        <w:t>specification. A training specification should include Title, Duration, Objectives, Delivery methodology, Outline of</w:t>
      </w:r>
      <w:r>
        <w:t xml:space="preserve"> </w:t>
      </w:r>
      <w:r w:rsidRPr="00E265FA">
        <w:t>programme content.</w:t>
      </w:r>
    </w:p>
    <w:p w14:paraId="08BFD9D3" w14:textId="77777777" w:rsidR="00CC596D" w:rsidRDefault="00CC596D" w:rsidP="00CC596D">
      <w:pPr>
        <w:numPr>
          <w:ilvl w:val="0"/>
          <w:numId w:val="3"/>
        </w:numPr>
        <w:contextualSpacing/>
        <w:rPr>
          <w:rFonts w:ascii="Calibri" w:hAnsi="Calibri" w:cstheme="minorHAnsi"/>
        </w:rPr>
      </w:pPr>
      <w:r w:rsidRPr="00E265FA">
        <w:t>Training will generally take the form of classroom-based instruction, workshops, demonstrations or simulations.</w:t>
      </w:r>
      <w:r>
        <w:t xml:space="preserve"> </w:t>
      </w:r>
      <w:r w:rsidRPr="00E265FA">
        <w:t>This can also include practical hands-on activities, project-based training challenges and coaching if specified as part of a structured training programme.</w:t>
      </w:r>
    </w:p>
    <w:p w14:paraId="13D9ACC8" w14:textId="5CAAF136" w:rsidR="002D6ED2" w:rsidRPr="001518FC" w:rsidRDefault="00CC596D" w:rsidP="00CC596D">
      <w:pPr>
        <w:numPr>
          <w:ilvl w:val="0"/>
          <w:numId w:val="3"/>
        </w:numPr>
        <w:contextualSpacing/>
        <w:rPr>
          <w:rFonts w:ascii="Calibri" w:hAnsi="Calibri" w:cstheme="minorHAnsi"/>
        </w:rPr>
      </w:pPr>
      <w:r w:rsidRPr="00E265FA">
        <w:lastRenderedPageBreak/>
        <w:t>Training may also be delivered online or remotely using e-Learning, Conferencing, or Virtual / Augmented reality  technologies for instance.</w:t>
      </w:r>
    </w:p>
    <w:p w14:paraId="1F682989" w14:textId="77777777" w:rsidR="001518FC" w:rsidRPr="00CC596D" w:rsidRDefault="001518FC" w:rsidP="009A666B">
      <w:pPr>
        <w:ind w:left="360"/>
        <w:contextualSpacing/>
        <w:rPr>
          <w:rFonts w:ascii="Calibri" w:hAnsi="Calibri" w:cstheme="minorHAnsi"/>
        </w:rPr>
      </w:pPr>
    </w:p>
    <w:p w14:paraId="3F3E3E0E" w14:textId="5C4BAE0A" w:rsidR="004F7AF0" w:rsidRPr="001518FC" w:rsidRDefault="004F7AF0" w:rsidP="001518FC">
      <w:pPr>
        <w:rPr>
          <w:rFonts w:asciiTheme="majorHAnsi" w:hAnsiTheme="majorHAnsi" w:cstheme="majorHAnsi"/>
          <w:color w:val="2F5496" w:themeColor="accent1" w:themeShade="BF"/>
          <w:sz w:val="26"/>
          <w:szCs w:val="26"/>
        </w:rPr>
      </w:pPr>
      <w:r w:rsidRPr="001518FC">
        <w:rPr>
          <w:rFonts w:asciiTheme="majorHAnsi" w:hAnsiTheme="majorHAnsi" w:cstheme="majorHAnsi"/>
          <w:color w:val="2F5496" w:themeColor="accent1" w:themeShade="BF"/>
          <w:sz w:val="26"/>
          <w:szCs w:val="26"/>
        </w:rPr>
        <w:t>Limits and Parameters</w:t>
      </w:r>
    </w:p>
    <w:p w14:paraId="185159DD" w14:textId="65627AF7" w:rsidR="004F7AF0" w:rsidRPr="004F7AF0" w:rsidRDefault="00C16569" w:rsidP="004F7AF0">
      <w:pPr>
        <w:rPr>
          <w:rFonts w:ascii="Calibri" w:hAnsi="Calibri" w:cs="Calibri"/>
        </w:rPr>
      </w:pPr>
      <w:r w:rsidRPr="00C16569">
        <w:rPr>
          <w:rFonts w:ascii="Calibri" w:hAnsi="Calibri" w:cs="Calibri"/>
        </w:rPr>
        <w:t>It is expected that the amount of training would be limited to 20 days per trainee for a supported project with up to 5 people to be supported for up to 40 days training subject to approval by the Green team, DA and DM.</w:t>
      </w:r>
    </w:p>
    <w:p w14:paraId="3BB032CD" w14:textId="77777777" w:rsidR="00253FB2" w:rsidRPr="00884DE7" w:rsidRDefault="00253FB2" w:rsidP="00253FB2">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884DE7">
        <w:rPr>
          <w:rFonts w:asciiTheme="majorHAnsi" w:eastAsiaTheme="majorEastAsia" w:hAnsiTheme="majorHAnsi" w:cstheme="majorBidi"/>
          <w:color w:val="2F5496" w:themeColor="accent1" w:themeShade="BF"/>
          <w:sz w:val="26"/>
          <w:szCs w:val="26"/>
          <w:lang w:val="en-US"/>
        </w:rPr>
        <w:t>Environmental Compliance and Do No Significant Harm </w:t>
      </w:r>
    </w:p>
    <w:p w14:paraId="7199B5DD" w14:textId="77777777" w:rsidR="00253FB2" w:rsidRDefault="00253FB2" w:rsidP="00253FB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Selected projects must comply with relevant EU and national environmental legislation and in particular with the ‘Do no significant harm’ Technical Guidance (2021/C58/01).</w:t>
      </w:r>
      <w:r>
        <w:rPr>
          <w:rStyle w:val="normaltextrun"/>
          <w:rFonts w:ascii="Calibri" w:hAnsi="Calibri" w:cs="Calibri"/>
          <w:sz w:val="22"/>
          <w:szCs w:val="22"/>
          <w:lang w:val="en-GB"/>
        </w:rPr>
        <w:t xml:space="preserve"> Specifically</w:t>
      </w:r>
      <w:r>
        <w:rPr>
          <w:rStyle w:val="normaltextrun"/>
          <w:rFonts w:ascii="Calibri" w:hAnsi="Calibri" w:cs="Calibri"/>
          <w:sz w:val="22"/>
          <w:szCs w:val="22"/>
          <w:lang w:val="en-US"/>
        </w:rPr>
        <w:t>: </w:t>
      </w:r>
      <w:r>
        <w:rPr>
          <w:rStyle w:val="eop"/>
          <w:rFonts w:ascii="Calibri" w:hAnsi="Calibri" w:cs="Calibri"/>
          <w:sz w:val="22"/>
          <w:szCs w:val="22"/>
        </w:rPr>
        <w:t> </w:t>
      </w:r>
    </w:p>
    <w:p w14:paraId="30E2E5DC" w14:textId="77777777" w:rsidR="00253FB2" w:rsidRDefault="00253FB2" w:rsidP="00253FB2">
      <w:pPr>
        <w:pStyle w:val="paragraph"/>
        <w:numPr>
          <w:ilvl w:val="0"/>
          <w:numId w:val="3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activities related to fossil fuels, including downstream use</w:t>
      </w:r>
      <w:r>
        <w:rPr>
          <w:rStyle w:val="normaltextrun"/>
          <w:rFonts w:ascii="Calibri" w:hAnsi="Calibri" w:cs="Calibri"/>
          <w:sz w:val="17"/>
          <w:szCs w:val="17"/>
          <w:vertAlign w:val="superscript"/>
        </w:rPr>
        <w:t>1</w:t>
      </w:r>
      <w:r>
        <w:rPr>
          <w:rStyle w:val="normaltextrun"/>
          <w:rFonts w:ascii="Calibri" w:hAnsi="Calibri" w:cs="Calibri"/>
          <w:sz w:val="22"/>
          <w:szCs w:val="22"/>
        </w:rPr>
        <w:t>; </w:t>
      </w:r>
      <w:r>
        <w:rPr>
          <w:rStyle w:val="eop"/>
          <w:rFonts w:ascii="Calibri" w:hAnsi="Calibri" w:cs="Calibri"/>
          <w:sz w:val="22"/>
          <w:szCs w:val="22"/>
        </w:rPr>
        <w:t> </w:t>
      </w:r>
    </w:p>
    <w:p w14:paraId="0B98E518" w14:textId="77777777" w:rsidR="00253FB2" w:rsidRDefault="00253FB2" w:rsidP="00253FB2">
      <w:pPr>
        <w:pStyle w:val="paragraph"/>
        <w:numPr>
          <w:ilvl w:val="0"/>
          <w:numId w:val="3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activities under the EU Emission Trading System (ETS) achieving projected greenhouse gas emissions that are not lower than the relevant benchmarks</w:t>
      </w:r>
      <w:r>
        <w:rPr>
          <w:rStyle w:val="normaltextrun"/>
          <w:rFonts w:ascii="Calibri" w:hAnsi="Calibri" w:cs="Calibri"/>
          <w:sz w:val="17"/>
          <w:szCs w:val="17"/>
          <w:vertAlign w:val="superscript"/>
        </w:rPr>
        <w:t>2</w:t>
      </w:r>
      <w:r>
        <w:rPr>
          <w:rStyle w:val="normaltextrun"/>
          <w:rFonts w:ascii="Calibri" w:hAnsi="Calibri" w:cs="Calibri"/>
          <w:sz w:val="22"/>
          <w:szCs w:val="22"/>
        </w:rPr>
        <w:t>; </w:t>
      </w:r>
      <w:r>
        <w:rPr>
          <w:rStyle w:val="eop"/>
          <w:rFonts w:ascii="Calibri" w:hAnsi="Calibri" w:cs="Calibri"/>
          <w:sz w:val="22"/>
          <w:szCs w:val="22"/>
        </w:rPr>
        <w:t> </w:t>
      </w:r>
    </w:p>
    <w:p w14:paraId="039977BB" w14:textId="77777777" w:rsidR="00253FB2" w:rsidRDefault="00253FB2" w:rsidP="00253FB2">
      <w:pPr>
        <w:pStyle w:val="paragraph"/>
        <w:numPr>
          <w:ilvl w:val="0"/>
          <w:numId w:val="3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activities related to waste landfills, incinerators</w:t>
      </w:r>
      <w:r>
        <w:rPr>
          <w:rStyle w:val="normaltextrun"/>
          <w:rFonts w:ascii="Calibri" w:hAnsi="Calibri" w:cs="Calibri"/>
          <w:sz w:val="17"/>
          <w:szCs w:val="17"/>
          <w:vertAlign w:val="superscript"/>
        </w:rPr>
        <w:t>3</w:t>
      </w:r>
      <w:r>
        <w:rPr>
          <w:rStyle w:val="normaltextrun"/>
          <w:rFonts w:ascii="Calibri" w:hAnsi="Calibri" w:cs="Calibri"/>
          <w:sz w:val="22"/>
          <w:szCs w:val="22"/>
        </w:rPr>
        <w:t xml:space="preserve"> and mechanical biological treatment plants</w:t>
      </w:r>
      <w:r>
        <w:rPr>
          <w:rStyle w:val="normaltextrun"/>
          <w:rFonts w:ascii="Calibri" w:hAnsi="Calibri" w:cs="Calibri"/>
          <w:sz w:val="17"/>
          <w:szCs w:val="17"/>
          <w:vertAlign w:val="superscript"/>
        </w:rPr>
        <w:t>4</w:t>
      </w:r>
      <w:r>
        <w:rPr>
          <w:rStyle w:val="normaltextrun"/>
          <w:rFonts w:ascii="Calibri" w:hAnsi="Calibri" w:cs="Calibri"/>
          <w:sz w:val="22"/>
          <w:szCs w:val="22"/>
        </w:rPr>
        <w:t>; and </w:t>
      </w:r>
      <w:r>
        <w:rPr>
          <w:rStyle w:val="eop"/>
          <w:rFonts w:ascii="Calibri" w:hAnsi="Calibri" w:cs="Calibri"/>
          <w:sz w:val="22"/>
          <w:szCs w:val="22"/>
        </w:rPr>
        <w:t> </w:t>
      </w:r>
    </w:p>
    <w:p w14:paraId="3192E247" w14:textId="77777777" w:rsidR="00253FB2" w:rsidRDefault="00253FB2" w:rsidP="00253FB2">
      <w:pPr>
        <w:pStyle w:val="paragraph"/>
        <w:numPr>
          <w:ilvl w:val="0"/>
          <w:numId w:val="3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activities where the long-term disposal of waste may cause harm to the environment. </w:t>
      </w:r>
      <w:r>
        <w:rPr>
          <w:rStyle w:val="eop"/>
          <w:rFonts w:ascii="Calibri" w:hAnsi="Calibri" w:cs="Calibri"/>
          <w:sz w:val="22"/>
          <w:szCs w:val="22"/>
        </w:rPr>
        <w:t> </w:t>
      </w:r>
    </w:p>
    <w:p w14:paraId="6AFF911C" w14:textId="77777777" w:rsidR="00253FB2" w:rsidRDefault="00253FB2" w:rsidP="00253FB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96EDEC6" w14:textId="77777777" w:rsidR="00253FB2" w:rsidRDefault="00253FB2" w:rsidP="00253FB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7"/>
          <w:szCs w:val="17"/>
          <w:vertAlign w:val="superscript"/>
        </w:rPr>
        <w:t xml:space="preserve">1 </w:t>
      </w:r>
      <w:r w:rsidRPr="00950683">
        <w:rPr>
          <w:rFonts w:asciiTheme="minorHAnsi" w:eastAsiaTheme="minorHAnsi" w:hAnsiTheme="minorHAnsi" w:cstheme="minorBidi"/>
          <w:sz w:val="22"/>
          <w:szCs w:val="22"/>
          <w:lang w:val="en-US" w:eastAsia="en-US"/>
        </w:rPr>
        <w:t>Except projects under this measure in power and/or heat generation, as well as related transmission and distribution infrastructure, using natural gas, that are compliant with the conditions set out in Annex III of the ‘Do no significant harm’ Technical Guidance (2021/C58/01).</w:t>
      </w:r>
      <w:r>
        <w:rPr>
          <w:rStyle w:val="eop"/>
          <w:rFonts w:ascii="Calibri" w:hAnsi="Calibri" w:cs="Calibri"/>
          <w:sz w:val="22"/>
          <w:szCs w:val="22"/>
        </w:rPr>
        <w:t> </w:t>
      </w:r>
    </w:p>
    <w:p w14:paraId="5D6538A8" w14:textId="77777777" w:rsidR="00253FB2" w:rsidRPr="00950683" w:rsidRDefault="00253FB2" w:rsidP="00253FB2">
      <w:pPr>
        <w:pStyle w:val="paragraph"/>
        <w:spacing w:before="0" w:beforeAutospacing="0" w:after="0" w:afterAutospacing="0"/>
        <w:textAlignment w:val="baseline"/>
        <w:rPr>
          <w:rFonts w:asciiTheme="minorHAnsi" w:eastAsiaTheme="minorHAnsi" w:hAnsiTheme="minorHAnsi" w:cstheme="minorBidi"/>
          <w:sz w:val="22"/>
          <w:szCs w:val="22"/>
          <w:lang w:val="en-US" w:eastAsia="en-US"/>
        </w:rPr>
      </w:pPr>
      <w:r>
        <w:rPr>
          <w:rStyle w:val="normaltextrun"/>
          <w:rFonts w:ascii="Calibri" w:hAnsi="Calibri" w:cs="Calibri"/>
          <w:sz w:val="17"/>
          <w:szCs w:val="17"/>
          <w:vertAlign w:val="superscript"/>
        </w:rPr>
        <w:t>2</w:t>
      </w:r>
      <w:r>
        <w:rPr>
          <w:rStyle w:val="normaltextrun"/>
          <w:rFonts w:ascii="Calibri" w:hAnsi="Calibri" w:cs="Calibri"/>
          <w:sz w:val="22"/>
          <w:szCs w:val="22"/>
        </w:rPr>
        <w:t xml:space="preserve"> </w:t>
      </w:r>
      <w:r w:rsidRPr="00950683">
        <w:rPr>
          <w:rFonts w:asciiTheme="minorHAnsi" w:eastAsiaTheme="minorHAnsi" w:hAnsiTheme="minorHAnsi" w:cstheme="minorBidi"/>
          <w:sz w:val="22"/>
          <w:szCs w:val="22"/>
          <w:lang w:val="en-US" w:eastAsia="en-US"/>
        </w:rPr>
        <w:t>Where the activity supported achieves projected greenhouse gas emissions that are not substantially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 </w:t>
      </w:r>
    </w:p>
    <w:p w14:paraId="0F3B5FFF" w14:textId="77777777" w:rsidR="00253FB2" w:rsidRPr="00115497" w:rsidRDefault="00253FB2" w:rsidP="00253FB2">
      <w:pPr>
        <w:pStyle w:val="paragraph"/>
        <w:spacing w:before="0" w:beforeAutospacing="0" w:after="0" w:afterAutospacing="0"/>
        <w:textAlignment w:val="baseline"/>
        <w:rPr>
          <w:rFonts w:asciiTheme="minorHAnsi" w:eastAsiaTheme="minorHAnsi" w:hAnsiTheme="minorHAnsi" w:cstheme="minorBidi"/>
          <w:sz w:val="22"/>
          <w:szCs w:val="22"/>
          <w:lang w:val="en-US" w:eastAsia="en-US"/>
        </w:rPr>
      </w:pPr>
      <w:r>
        <w:rPr>
          <w:rStyle w:val="normaltextrun"/>
          <w:rFonts w:ascii="Calibri" w:hAnsi="Calibri" w:cs="Calibri"/>
          <w:sz w:val="17"/>
          <w:szCs w:val="17"/>
          <w:vertAlign w:val="superscript"/>
        </w:rPr>
        <w:t xml:space="preserve">3 </w:t>
      </w:r>
      <w:r w:rsidRPr="00115497">
        <w:rPr>
          <w:rFonts w:asciiTheme="minorHAnsi" w:eastAsiaTheme="minorHAnsi" w:hAnsiTheme="minorHAnsi" w:cstheme="minorBidi"/>
          <w:sz w:val="22"/>
          <w:szCs w:val="22"/>
          <w:lang w:val="en-US" w:eastAsia="en-US"/>
        </w:rPr>
        <w:t>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r w:rsidRPr="00115497">
        <w:rPr>
          <w:rFonts w:asciiTheme="minorHAnsi" w:eastAsiaTheme="minorHAnsi" w:hAnsiTheme="minorHAnsi" w:cstheme="minorBidi"/>
          <w:lang w:val="en-US" w:eastAsia="en-US"/>
        </w:rPr>
        <w:t> </w:t>
      </w:r>
    </w:p>
    <w:p w14:paraId="73DE80BE" w14:textId="77777777" w:rsidR="00253FB2" w:rsidRPr="00115497" w:rsidRDefault="00253FB2" w:rsidP="00253FB2">
      <w:pPr>
        <w:pStyle w:val="paragraph"/>
        <w:spacing w:before="0" w:beforeAutospacing="0" w:after="0" w:afterAutospacing="0"/>
        <w:textAlignment w:val="baseline"/>
        <w:rPr>
          <w:rFonts w:asciiTheme="minorHAnsi" w:eastAsiaTheme="minorHAnsi" w:hAnsiTheme="minorHAnsi" w:cstheme="minorBidi"/>
          <w:sz w:val="22"/>
          <w:szCs w:val="22"/>
          <w:lang w:val="en-US" w:eastAsia="en-US"/>
        </w:rPr>
      </w:pPr>
      <w:r>
        <w:rPr>
          <w:rStyle w:val="normaltextrun"/>
          <w:rFonts w:ascii="Calibri" w:hAnsi="Calibri" w:cs="Calibri"/>
          <w:sz w:val="17"/>
          <w:szCs w:val="17"/>
          <w:vertAlign w:val="superscript"/>
        </w:rPr>
        <w:t xml:space="preserve">4 </w:t>
      </w:r>
      <w:r w:rsidRPr="00115497">
        <w:rPr>
          <w:rFonts w:asciiTheme="minorHAnsi" w:eastAsiaTheme="minorHAnsi" w:hAnsiTheme="minorHAnsi" w:cstheme="minorBidi"/>
          <w:sz w:val="22"/>
          <w:szCs w:val="22"/>
          <w:lang w:val="en-US" w:eastAsia="en-US"/>
        </w:rPr>
        <w:t>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bio-waste, provided such actions under this measure do not result in an increase of the plants’ waste processing capacity or in an extension of the lifetime of the plants; for which evidence is provided at plant level.</w:t>
      </w:r>
      <w:r w:rsidRPr="00115497">
        <w:rPr>
          <w:rFonts w:asciiTheme="minorHAnsi" w:eastAsiaTheme="minorHAnsi" w:hAnsiTheme="minorHAnsi" w:cstheme="minorBidi"/>
          <w:lang w:val="en-US" w:eastAsia="en-US"/>
        </w:rPr>
        <w:t> </w:t>
      </w:r>
    </w:p>
    <w:p w14:paraId="6EFFFD8E" w14:textId="77777777" w:rsidR="00193640" w:rsidRPr="00193640" w:rsidRDefault="00193640" w:rsidP="00193640">
      <w:pPr>
        <w:spacing w:before="120" w:after="120" w:line="240" w:lineRule="auto"/>
        <w:rPr>
          <w:rFonts w:ascii="Calibri" w:hAnsi="Calibri" w:cs="Calibri"/>
        </w:rPr>
      </w:pPr>
    </w:p>
    <w:p w14:paraId="4A83F6BE"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Application, Assessment and Approval process</w:t>
      </w:r>
    </w:p>
    <w:p w14:paraId="439DC11F" w14:textId="707EFCB0" w:rsidR="00971CB9" w:rsidRDefault="00971CB9" w:rsidP="00971CB9">
      <w:pPr>
        <w:rPr>
          <w:lang w:val="en-US"/>
        </w:rPr>
      </w:pPr>
      <w:r w:rsidRPr="00971CB9">
        <w:rPr>
          <w:lang w:val="en-US"/>
        </w:rPr>
        <w:t xml:space="preserve">Applications may be submitted at any time to Enterprise Ireland (i.e., there is no set call close date). However, applications </w:t>
      </w:r>
      <w:r w:rsidRPr="00971CB9">
        <w:rPr>
          <w:b/>
          <w:i/>
          <w:lang w:val="en-US"/>
        </w:rPr>
        <w:t>should always</w:t>
      </w:r>
      <w:r w:rsidRPr="00971CB9">
        <w:rPr>
          <w:lang w:val="en-US"/>
        </w:rPr>
        <w:t xml:space="preserve"> be discussed with the assigned Development Advisor prior to submission. Enterprise Ireland clients </w:t>
      </w:r>
      <w:r w:rsidRPr="00F54A64">
        <w:rPr>
          <w:lang w:val="en-US"/>
        </w:rPr>
        <w:t>should</w:t>
      </w:r>
      <w:r w:rsidR="00B17B0B" w:rsidRPr="00F54A64">
        <w:rPr>
          <w:lang w:val="en-US"/>
        </w:rPr>
        <w:t xml:space="preserve"> contact</w:t>
      </w:r>
      <w:r w:rsidRPr="00F54A64">
        <w:rPr>
          <w:lang w:val="en-US"/>
        </w:rPr>
        <w:t xml:space="preserve"> their</w:t>
      </w:r>
      <w:r w:rsidRPr="00971CB9">
        <w:rPr>
          <w:lang w:val="en-US"/>
        </w:rPr>
        <w:t xml:space="preserve"> Development Advisor in order to discuss their proposed project. With the agreement of the assigned Development Advisor, applications can be made using the Enterprise Ireland online application system. </w:t>
      </w:r>
    </w:p>
    <w:p w14:paraId="65E0B2ED" w14:textId="4BEDA52A" w:rsidR="00193640" w:rsidRPr="00D07512" w:rsidRDefault="00193640" w:rsidP="00971CB9">
      <w:pPr>
        <w:rPr>
          <w:lang w:val="en-US"/>
        </w:rPr>
      </w:pPr>
      <w:r w:rsidRPr="00D07512">
        <w:rPr>
          <w:lang w:val="en-US"/>
        </w:rPr>
        <w:t>Companies will be required to give their orgainisational carbon footprint as part of the application process either through completion of the Climate Toolkit 4 Business Carbon Calculator, GHG Protocol Corporate Standard, ISO 14064-1 Standard or similar.</w:t>
      </w:r>
    </w:p>
    <w:p w14:paraId="1606A3E5" w14:textId="77777777" w:rsidR="00971CB9" w:rsidRPr="00971CB9" w:rsidRDefault="00971CB9" w:rsidP="00971CB9">
      <w:pPr>
        <w:keepNext/>
        <w:keepLines/>
        <w:spacing w:before="40" w:after="0"/>
        <w:outlineLvl w:val="2"/>
        <w:rPr>
          <w:rFonts w:asciiTheme="majorHAnsi" w:eastAsiaTheme="majorEastAsia" w:hAnsiTheme="majorHAnsi" w:cstheme="majorBidi"/>
          <w:color w:val="1F3763" w:themeColor="accent1" w:themeShade="7F"/>
          <w:sz w:val="24"/>
          <w:szCs w:val="24"/>
          <w:lang w:val="en-US"/>
        </w:rPr>
      </w:pPr>
      <w:r w:rsidRPr="00971CB9">
        <w:rPr>
          <w:rFonts w:asciiTheme="majorHAnsi" w:eastAsiaTheme="majorEastAsia" w:hAnsiTheme="majorHAnsi" w:cstheme="majorBidi"/>
          <w:color w:val="1F3763" w:themeColor="accent1" w:themeShade="7F"/>
          <w:sz w:val="24"/>
          <w:szCs w:val="24"/>
          <w:lang w:val="en-US"/>
        </w:rPr>
        <w:t>Application Steps</w:t>
      </w:r>
    </w:p>
    <w:tbl>
      <w:tblPr>
        <w:tblW w:w="10177" w:type="dxa"/>
        <w:tblInd w:w="24" w:type="dxa"/>
        <w:tblCellMar>
          <w:top w:w="22" w:type="dxa"/>
          <w:right w:w="103" w:type="dxa"/>
        </w:tblCellMar>
        <w:tblLook w:val="04A0" w:firstRow="1" w:lastRow="0" w:firstColumn="1" w:lastColumn="0" w:noHBand="0" w:noVBand="1"/>
      </w:tblPr>
      <w:tblGrid>
        <w:gridCol w:w="538"/>
        <w:gridCol w:w="9639"/>
      </w:tblGrid>
      <w:tr w:rsidR="00971CB9" w:rsidRPr="00971CB9" w14:paraId="26B12D33" w14:textId="77777777" w:rsidTr="00B53BE6">
        <w:trPr>
          <w:trHeight w:val="566"/>
        </w:trPr>
        <w:tc>
          <w:tcPr>
            <w:tcW w:w="538" w:type="dxa"/>
            <w:tcBorders>
              <w:top w:val="single" w:sz="4" w:space="0" w:color="000000"/>
              <w:left w:val="single" w:sz="4" w:space="0" w:color="000000"/>
              <w:bottom w:val="single" w:sz="4" w:space="0" w:color="000000"/>
              <w:right w:val="single" w:sz="4" w:space="0" w:color="000000"/>
            </w:tcBorders>
          </w:tcPr>
          <w:p w14:paraId="17CA55AC" w14:textId="77777777" w:rsidR="00971CB9" w:rsidRPr="00971CB9" w:rsidRDefault="00971CB9" w:rsidP="00971CB9">
            <w:pPr>
              <w:jc w:val="center"/>
              <w:rPr>
                <w:lang w:val="en-US"/>
              </w:rPr>
            </w:pPr>
            <w:r w:rsidRPr="00971CB9">
              <w:rPr>
                <w:lang w:val="en-US"/>
              </w:rPr>
              <w:t>1</w:t>
            </w:r>
          </w:p>
        </w:tc>
        <w:tc>
          <w:tcPr>
            <w:tcW w:w="9639" w:type="dxa"/>
            <w:tcBorders>
              <w:top w:val="single" w:sz="4" w:space="0" w:color="000000"/>
              <w:left w:val="single" w:sz="4" w:space="0" w:color="000000"/>
              <w:bottom w:val="single" w:sz="4" w:space="0" w:color="000000"/>
              <w:right w:val="single" w:sz="4" w:space="0" w:color="000000"/>
            </w:tcBorders>
          </w:tcPr>
          <w:p w14:paraId="484553EB" w14:textId="77777777" w:rsidR="00971CB9" w:rsidRPr="00971CB9" w:rsidRDefault="00971CB9" w:rsidP="00971CB9">
            <w:pPr>
              <w:rPr>
                <w:lang w:val="en-US"/>
              </w:rPr>
            </w:pPr>
            <w:r w:rsidRPr="00971CB9">
              <w:rPr>
                <w:lang w:val="en-US"/>
              </w:rPr>
              <w:t xml:space="preserve">The relevant Development Advisor (DA) discusses the case with the client company and if appropriate advises the client to complete an online application.  </w:t>
            </w:r>
          </w:p>
        </w:tc>
      </w:tr>
      <w:tr w:rsidR="00971CB9" w:rsidRPr="00971CB9" w14:paraId="033D7701" w14:textId="77777777" w:rsidTr="00B53BE6">
        <w:trPr>
          <w:trHeight w:val="291"/>
        </w:trPr>
        <w:tc>
          <w:tcPr>
            <w:tcW w:w="538" w:type="dxa"/>
            <w:tcBorders>
              <w:top w:val="single" w:sz="4" w:space="0" w:color="000000"/>
              <w:left w:val="single" w:sz="4" w:space="0" w:color="000000"/>
              <w:bottom w:val="single" w:sz="4" w:space="0" w:color="000000"/>
              <w:right w:val="single" w:sz="4" w:space="0" w:color="000000"/>
            </w:tcBorders>
          </w:tcPr>
          <w:p w14:paraId="761FB44C" w14:textId="77777777" w:rsidR="00971CB9" w:rsidRPr="00971CB9" w:rsidRDefault="00971CB9" w:rsidP="00971CB9">
            <w:pPr>
              <w:jc w:val="center"/>
              <w:rPr>
                <w:lang w:val="en-US"/>
              </w:rPr>
            </w:pPr>
            <w:r w:rsidRPr="00971CB9">
              <w:rPr>
                <w:lang w:val="en-US"/>
              </w:rPr>
              <w:lastRenderedPageBreak/>
              <w:t>2</w:t>
            </w:r>
          </w:p>
        </w:tc>
        <w:tc>
          <w:tcPr>
            <w:tcW w:w="9639" w:type="dxa"/>
            <w:tcBorders>
              <w:top w:val="single" w:sz="4" w:space="0" w:color="000000"/>
              <w:left w:val="single" w:sz="4" w:space="0" w:color="000000"/>
              <w:bottom w:val="single" w:sz="4" w:space="0" w:color="000000"/>
              <w:right w:val="single" w:sz="4" w:space="0" w:color="000000"/>
            </w:tcBorders>
          </w:tcPr>
          <w:p w14:paraId="3954BF58" w14:textId="51BC93E2" w:rsidR="00971CB9" w:rsidRPr="00971CB9" w:rsidRDefault="00971CB9" w:rsidP="00971CB9">
            <w:pPr>
              <w:rPr>
                <w:lang w:val="en-US"/>
              </w:rPr>
            </w:pPr>
            <w:r w:rsidRPr="00971CB9">
              <w:rPr>
                <w:lang w:val="en-US"/>
              </w:rPr>
              <w:t>The client company is responsible for selection of a Green Service Provider / Consultant to carry out assignment</w:t>
            </w:r>
            <w:r w:rsidR="003F578F">
              <w:rPr>
                <w:lang w:val="en-US"/>
              </w:rPr>
              <w:t xml:space="preserve"> </w:t>
            </w:r>
            <w:r w:rsidR="00063137">
              <w:rPr>
                <w:lang w:val="en-US"/>
              </w:rPr>
              <w:t>&amp;/ selection of external courses</w:t>
            </w:r>
            <w:r w:rsidR="003C1589">
              <w:rPr>
                <w:lang w:val="en-US"/>
              </w:rPr>
              <w:t xml:space="preserve"> / e learning</w:t>
            </w:r>
            <w:r w:rsidR="00063137">
              <w:rPr>
                <w:lang w:val="en-US"/>
              </w:rPr>
              <w:t xml:space="preserve">. </w:t>
            </w:r>
          </w:p>
        </w:tc>
      </w:tr>
      <w:tr w:rsidR="00971CB9" w:rsidRPr="00971CB9" w14:paraId="0689C63A" w14:textId="77777777" w:rsidTr="00B53BE6">
        <w:trPr>
          <w:trHeight w:val="291"/>
        </w:trPr>
        <w:tc>
          <w:tcPr>
            <w:tcW w:w="538" w:type="dxa"/>
            <w:tcBorders>
              <w:top w:val="single" w:sz="4" w:space="0" w:color="000000"/>
              <w:left w:val="single" w:sz="4" w:space="0" w:color="000000"/>
              <w:bottom w:val="single" w:sz="4" w:space="0" w:color="000000"/>
              <w:right w:val="single" w:sz="4" w:space="0" w:color="000000"/>
            </w:tcBorders>
          </w:tcPr>
          <w:p w14:paraId="680B0148" w14:textId="77777777" w:rsidR="00971CB9" w:rsidRPr="00971CB9" w:rsidRDefault="00971CB9" w:rsidP="00971CB9">
            <w:pPr>
              <w:jc w:val="center"/>
              <w:rPr>
                <w:lang w:val="en-US"/>
              </w:rPr>
            </w:pPr>
            <w:r w:rsidRPr="00971CB9">
              <w:rPr>
                <w:lang w:val="en-US"/>
              </w:rPr>
              <w:t>3</w:t>
            </w:r>
          </w:p>
        </w:tc>
        <w:tc>
          <w:tcPr>
            <w:tcW w:w="9639" w:type="dxa"/>
            <w:tcBorders>
              <w:top w:val="single" w:sz="4" w:space="0" w:color="000000"/>
              <w:left w:val="single" w:sz="4" w:space="0" w:color="000000"/>
              <w:bottom w:val="single" w:sz="4" w:space="0" w:color="000000"/>
              <w:right w:val="single" w:sz="4" w:space="0" w:color="000000"/>
            </w:tcBorders>
          </w:tcPr>
          <w:p w14:paraId="093D0F8A" w14:textId="515C2BC9" w:rsidR="00971CB9" w:rsidRPr="00971CB9" w:rsidRDefault="00971CB9" w:rsidP="00971CB9">
            <w:pPr>
              <w:rPr>
                <w:lang w:val="en-US"/>
              </w:rPr>
            </w:pPr>
            <w:r w:rsidRPr="00971CB9">
              <w:rPr>
                <w:lang w:val="en-US"/>
              </w:rPr>
              <w:t>The client completes the application form online and submits. Note that a Financial Data Sheet (FDS) is not normally required for a Green</w:t>
            </w:r>
            <w:r w:rsidRPr="00971CB9">
              <w:rPr>
                <w:lang w:val="ga-IE"/>
              </w:rPr>
              <w:t xml:space="preserve">Plus </w:t>
            </w:r>
            <w:r w:rsidRPr="00971CB9">
              <w:rPr>
                <w:lang w:val="en-US"/>
              </w:rPr>
              <w:t xml:space="preserve">application. </w:t>
            </w:r>
          </w:p>
        </w:tc>
      </w:tr>
      <w:tr w:rsidR="00971CB9" w:rsidRPr="00971CB9" w14:paraId="22E37A01" w14:textId="77777777" w:rsidTr="00B53BE6">
        <w:trPr>
          <w:trHeight w:val="566"/>
        </w:trPr>
        <w:tc>
          <w:tcPr>
            <w:tcW w:w="538" w:type="dxa"/>
            <w:tcBorders>
              <w:top w:val="single" w:sz="4" w:space="0" w:color="000000"/>
              <w:left w:val="single" w:sz="4" w:space="0" w:color="000000"/>
              <w:bottom w:val="single" w:sz="4" w:space="0" w:color="000000"/>
              <w:right w:val="single" w:sz="4" w:space="0" w:color="000000"/>
            </w:tcBorders>
          </w:tcPr>
          <w:p w14:paraId="70BCC834" w14:textId="77777777" w:rsidR="00971CB9" w:rsidRPr="00971CB9" w:rsidRDefault="00971CB9" w:rsidP="00971CB9">
            <w:pPr>
              <w:jc w:val="center"/>
              <w:rPr>
                <w:lang w:val="en-US"/>
              </w:rPr>
            </w:pPr>
            <w:r w:rsidRPr="00971CB9">
              <w:rPr>
                <w:lang w:val="en-US"/>
              </w:rPr>
              <w:t>6</w:t>
            </w:r>
          </w:p>
        </w:tc>
        <w:tc>
          <w:tcPr>
            <w:tcW w:w="9639" w:type="dxa"/>
            <w:tcBorders>
              <w:top w:val="single" w:sz="4" w:space="0" w:color="000000"/>
              <w:left w:val="single" w:sz="4" w:space="0" w:color="000000"/>
              <w:bottom w:val="single" w:sz="4" w:space="0" w:color="000000"/>
              <w:right w:val="single" w:sz="4" w:space="0" w:color="000000"/>
            </w:tcBorders>
          </w:tcPr>
          <w:p w14:paraId="15596E27" w14:textId="38C12120" w:rsidR="00971CB9" w:rsidRPr="00D43F6C" w:rsidRDefault="00971CB9" w:rsidP="00971CB9">
            <w:pPr>
              <w:rPr>
                <w:highlight w:val="yellow"/>
                <w:lang w:val="en-US"/>
              </w:rPr>
            </w:pPr>
            <w:r w:rsidRPr="00D43F6C">
              <w:rPr>
                <w:lang w:val="en-US"/>
              </w:rPr>
              <w:t>The final approval is through the Line management system by the DA and Department Manager</w:t>
            </w:r>
            <w:r w:rsidR="00C458CC">
              <w:rPr>
                <w:lang w:val="en-US"/>
              </w:rPr>
              <w:t>/</w:t>
            </w:r>
            <w:proofErr w:type="spellStart"/>
            <w:r w:rsidR="00C458CC">
              <w:rPr>
                <w:lang w:val="en-US"/>
              </w:rPr>
              <w:t>Divsional</w:t>
            </w:r>
            <w:proofErr w:type="spellEnd"/>
            <w:r w:rsidR="00C458CC">
              <w:rPr>
                <w:lang w:val="en-US"/>
              </w:rPr>
              <w:t xml:space="preserve"> Manager and Programme Lead</w:t>
            </w:r>
            <w:r w:rsidR="00EF4545">
              <w:rPr>
                <w:lang w:val="en-US"/>
              </w:rPr>
              <w:t>/Green Desk</w:t>
            </w:r>
            <w:r w:rsidR="00C458CC">
              <w:rPr>
                <w:lang w:val="en-US"/>
              </w:rPr>
              <w:t>.</w:t>
            </w:r>
          </w:p>
        </w:tc>
      </w:tr>
      <w:tr w:rsidR="00971CB9" w:rsidRPr="00971CB9" w14:paraId="087EB725" w14:textId="77777777" w:rsidTr="00B53BE6">
        <w:trPr>
          <w:trHeight w:val="566"/>
        </w:trPr>
        <w:tc>
          <w:tcPr>
            <w:tcW w:w="538" w:type="dxa"/>
            <w:tcBorders>
              <w:top w:val="single" w:sz="4" w:space="0" w:color="000000"/>
              <w:left w:val="single" w:sz="4" w:space="0" w:color="000000"/>
              <w:bottom w:val="single" w:sz="4" w:space="0" w:color="000000"/>
              <w:right w:val="single" w:sz="4" w:space="0" w:color="000000"/>
            </w:tcBorders>
          </w:tcPr>
          <w:p w14:paraId="0BCC35CF" w14:textId="77777777" w:rsidR="00971CB9" w:rsidRPr="00971CB9" w:rsidRDefault="00971CB9" w:rsidP="00971CB9">
            <w:pPr>
              <w:jc w:val="center"/>
              <w:rPr>
                <w:lang w:val="en-US"/>
              </w:rPr>
            </w:pPr>
            <w:r w:rsidRPr="00971CB9">
              <w:rPr>
                <w:lang w:val="en-US"/>
              </w:rPr>
              <w:t>7</w:t>
            </w:r>
          </w:p>
        </w:tc>
        <w:tc>
          <w:tcPr>
            <w:tcW w:w="9639" w:type="dxa"/>
            <w:tcBorders>
              <w:top w:val="single" w:sz="4" w:space="0" w:color="000000"/>
              <w:left w:val="single" w:sz="4" w:space="0" w:color="000000"/>
              <w:bottom w:val="single" w:sz="4" w:space="0" w:color="000000"/>
              <w:right w:val="single" w:sz="4" w:space="0" w:color="000000"/>
            </w:tcBorders>
          </w:tcPr>
          <w:p w14:paraId="3438F794" w14:textId="77777777" w:rsidR="00971CB9" w:rsidRPr="00971CB9" w:rsidRDefault="00971CB9" w:rsidP="00971CB9">
            <w:pPr>
              <w:rPr>
                <w:lang w:val="en-US"/>
              </w:rPr>
            </w:pPr>
            <w:r w:rsidRPr="00971CB9">
              <w:rPr>
                <w:lang w:val="en-US"/>
              </w:rPr>
              <w:t>On receipt of Approval, Grant Applications issue the Letter of Offer.</w:t>
            </w:r>
          </w:p>
        </w:tc>
      </w:tr>
      <w:tr w:rsidR="00971CB9" w:rsidRPr="00971CB9" w14:paraId="39D5319B" w14:textId="77777777" w:rsidTr="00B53BE6">
        <w:trPr>
          <w:trHeight w:val="564"/>
        </w:trPr>
        <w:tc>
          <w:tcPr>
            <w:tcW w:w="538" w:type="dxa"/>
            <w:tcBorders>
              <w:top w:val="single" w:sz="4" w:space="0" w:color="000000"/>
              <w:left w:val="single" w:sz="4" w:space="0" w:color="000000"/>
              <w:bottom w:val="single" w:sz="4" w:space="0" w:color="000000"/>
              <w:right w:val="single" w:sz="4" w:space="0" w:color="000000"/>
            </w:tcBorders>
          </w:tcPr>
          <w:p w14:paraId="0044B9C6" w14:textId="77777777" w:rsidR="00971CB9" w:rsidRPr="00971CB9" w:rsidRDefault="00971CB9" w:rsidP="00971CB9">
            <w:pPr>
              <w:jc w:val="center"/>
              <w:rPr>
                <w:lang w:val="en-US"/>
              </w:rPr>
            </w:pPr>
            <w:r w:rsidRPr="00971CB9">
              <w:rPr>
                <w:lang w:val="en-US"/>
              </w:rPr>
              <w:t>8</w:t>
            </w:r>
          </w:p>
        </w:tc>
        <w:tc>
          <w:tcPr>
            <w:tcW w:w="9639" w:type="dxa"/>
            <w:tcBorders>
              <w:top w:val="single" w:sz="4" w:space="0" w:color="000000"/>
              <w:left w:val="single" w:sz="4" w:space="0" w:color="000000"/>
              <w:bottom w:val="single" w:sz="4" w:space="0" w:color="000000"/>
              <w:right w:val="single" w:sz="4" w:space="0" w:color="000000"/>
            </w:tcBorders>
          </w:tcPr>
          <w:p w14:paraId="67977E4D" w14:textId="4EDE1B9C" w:rsidR="00971CB9" w:rsidRPr="00971CB9" w:rsidRDefault="00971CB9" w:rsidP="00971CB9">
            <w:pPr>
              <w:rPr>
                <w:lang w:val="en-US"/>
              </w:rPr>
            </w:pPr>
            <w:r w:rsidRPr="00971CB9">
              <w:rPr>
                <w:lang w:val="en-US"/>
              </w:rPr>
              <w:t>On receipt and acceptance of letter of Offer, client engages Green Service Provider/Consultant</w:t>
            </w:r>
            <w:r w:rsidR="00063137">
              <w:rPr>
                <w:lang w:val="en-US"/>
              </w:rPr>
              <w:t>/Course Provider</w:t>
            </w:r>
            <w:r w:rsidRPr="00971CB9">
              <w:rPr>
                <w:lang w:val="en-US"/>
              </w:rPr>
              <w:t xml:space="preserve"> to begin </w:t>
            </w:r>
            <w:r w:rsidRPr="00971CB9">
              <w:rPr>
                <w:lang w:val="ga-IE"/>
              </w:rPr>
              <w:t>the project</w:t>
            </w:r>
            <w:r w:rsidRPr="00971CB9">
              <w:rPr>
                <w:lang w:val="en-US"/>
              </w:rPr>
              <w:t xml:space="preserve"> assignment. </w:t>
            </w:r>
          </w:p>
        </w:tc>
      </w:tr>
    </w:tbl>
    <w:p w14:paraId="42DCE32C" w14:textId="77777777" w:rsidR="00971CB9" w:rsidRPr="00971CB9" w:rsidRDefault="00971CB9" w:rsidP="00971CB9">
      <w:pPr>
        <w:rPr>
          <w:lang w:val="en-US"/>
        </w:rPr>
      </w:pPr>
    </w:p>
    <w:p w14:paraId="2F03DCFC" w14:textId="77777777" w:rsidR="00971CB9" w:rsidRPr="00971CB9" w:rsidRDefault="00971CB9" w:rsidP="00971CB9">
      <w:pPr>
        <w:keepNext/>
        <w:keepLines/>
        <w:spacing w:before="40" w:after="0"/>
        <w:outlineLvl w:val="2"/>
        <w:rPr>
          <w:rFonts w:asciiTheme="majorHAnsi" w:eastAsiaTheme="majorEastAsia" w:hAnsiTheme="majorHAnsi" w:cstheme="majorBidi"/>
          <w:color w:val="1F3763" w:themeColor="accent1" w:themeShade="7F"/>
          <w:sz w:val="24"/>
          <w:szCs w:val="24"/>
          <w:lang w:val="en-US"/>
        </w:rPr>
      </w:pPr>
      <w:r w:rsidRPr="00971CB9">
        <w:rPr>
          <w:rFonts w:asciiTheme="majorHAnsi" w:eastAsiaTheme="majorEastAsia" w:hAnsiTheme="majorHAnsi" w:cstheme="majorBidi"/>
          <w:color w:val="1F3763" w:themeColor="accent1" w:themeShade="7F"/>
          <w:sz w:val="24"/>
          <w:szCs w:val="24"/>
          <w:lang w:val="en-US"/>
        </w:rPr>
        <w:t>Assessment of Applications</w:t>
      </w:r>
    </w:p>
    <w:p w14:paraId="42418CC2" w14:textId="77777777" w:rsidR="00971CB9" w:rsidRPr="00971CB9" w:rsidRDefault="00971CB9" w:rsidP="00971CB9">
      <w:pPr>
        <w:rPr>
          <w:lang w:val="en-US"/>
        </w:rPr>
      </w:pPr>
      <w:r w:rsidRPr="00971CB9">
        <w:rPr>
          <w:lang w:val="en-US"/>
        </w:rPr>
        <w:t>The Commercial evaluation and assessment by the DA is based on;</w:t>
      </w:r>
    </w:p>
    <w:p w14:paraId="67C1C6D1" w14:textId="77777777" w:rsidR="00971CB9" w:rsidRPr="00C14F97" w:rsidRDefault="00971CB9" w:rsidP="274AE864">
      <w:pPr>
        <w:numPr>
          <w:ilvl w:val="0"/>
          <w:numId w:val="6"/>
        </w:numPr>
        <w:contextualSpacing/>
        <w:rPr>
          <w:rFonts w:ascii="Calibri" w:hAnsi="Calibri" w:cs="Calibri"/>
        </w:rPr>
      </w:pPr>
      <w:r w:rsidRPr="00C14F97">
        <w:rPr>
          <w:rFonts w:ascii="Calibri" w:hAnsi="Calibri" w:cs="Calibri"/>
        </w:rPr>
        <w:t>Value for money for the State taking into account the performance against targets set in previous investments</w:t>
      </w:r>
    </w:p>
    <w:p w14:paraId="0FF51FB0" w14:textId="77777777" w:rsidR="00971CB9" w:rsidRPr="00C14F97" w:rsidRDefault="00971CB9" w:rsidP="274AE864">
      <w:pPr>
        <w:numPr>
          <w:ilvl w:val="0"/>
          <w:numId w:val="6"/>
        </w:numPr>
        <w:contextualSpacing/>
        <w:rPr>
          <w:rFonts w:ascii="Calibri" w:hAnsi="Calibri" w:cs="Calibri"/>
        </w:rPr>
      </w:pPr>
      <w:r w:rsidRPr="00C14F97">
        <w:rPr>
          <w:rFonts w:ascii="Calibri" w:hAnsi="Calibri" w:cs="Calibri"/>
        </w:rPr>
        <w:t>The overall amount of State funding received by the company in the last seven years</w:t>
      </w:r>
    </w:p>
    <w:p w14:paraId="49CD5BA8" w14:textId="77777777" w:rsidR="00971CB9" w:rsidRPr="00C14F97" w:rsidRDefault="00971CB9" w:rsidP="274AE864">
      <w:pPr>
        <w:numPr>
          <w:ilvl w:val="0"/>
          <w:numId w:val="6"/>
        </w:numPr>
        <w:contextualSpacing/>
        <w:rPr>
          <w:rFonts w:ascii="Calibri" w:hAnsi="Calibri" w:cs="Calibri"/>
        </w:rPr>
      </w:pPr>
      <w:r w:rsidRPr="00C14F97">
        <w:rPr>
          <w:rFonts w:ascii="Calibri" w:hAnsi="Calibri" w:cs="Calibri"/>
        </w:rPr>
        <w:t>How the plan is an integral part of the strategic development plan of the company</w:t>
      </w:r>
    </w:p>
    <w:p w14:paraId="66422920" w14:textId="77777777" w:rsidR="00971CB9" w:rsidRPr="00C14F97" w:rsidRDefault="00971CB9" w:rsidP="274AE864">
      <w:pPr>
        <w:numPr>
          <w:ilvl w:val="0"/>
          <w:numId w:val="6"/>
        </w:numPr>
        <w:contextualSpacing/>
        <w:rPr>
          <w:rFonts w:ascii="Calibri" w:hAnsi="Calibri" w:cs="Calibri"/>
        </w:rPr>
      </w:pPr>
      <w:r w:rsidRPr="00C14F97">
        <w:rPr>
          <w:rFonts w:ascii="Calibri" w:hAnsi="Calibri" w:cs="Calibri"/>
        </w:rPr>
        <w:t>The financial track record of the company</w:t>
      </w:r>
    </w:p>
    <w:p w14:paraId="13309C73" w14:textId="77777777" w:rsidR="00971CB9" w:rsidRPr="00C14F97" w:rsidRDefault="00971CB9" w:rsidP="274AE864">
      <w:pPr>
        <w:numPr>
          <w:ilvl w:val="0"/>
          <w:numId w:val="6"/>
        </w:numPr>
        <w:contextualSpacing/>
        <w:rPr>
          <w:rFonts w:ascii="Calibri" w:hAnsi="Calibri" w:cs="Calibri"/>
        </w:rPr>
      </w:pPr>
      <w:r w:rsidRPr="00C14F97">
        <w:rPr>
          <w:rFonts w:ascii="Calibri" w:hAnsi="Calibri" w:cs="Calibri"/>
        </w:rPr>
        <w:t>The development needs of the company</w:t>
      </w:r>
    </w:p>
    <w:p w14:paraId="4AEEA9DD" w14:textId="77777777" w:rsidR="00971CB9" w:rsidRPr="00C14F97" w:rsidRDefault="00971CB9" w:rsidP="274AE864">
      <w:pPr>
        <w:numPr>
          <w:ilvl w:val="0"/>
          <w:numId w:val="6"/>
        </w:numPr>
        <w:contextualSpacing/>
        <w:rPr>
          <w:rFonts w:ascii="Calibri" w:hAnsi="Calibri" w:cs="Calibri"/>
        </w:rPr>
      </w:pPr>
      <w:r w:rsidRPr="00C14F97">
        <w:rPr>
          <w:rFonts w:ascii="Calibri" w:hAnsi="Calibri" w:cs="Calibri"/>
        </w:rPr>
        <w:t>Previous track record in implementing any previously State funded projects</w:t>
      </w:r>
    </w:p>
    <w:p w14:paraId="3A6FCF88" w14:textId="77777777" w:rsidR="008074AB" w:rsidRPr="00971CB9" w:rsidRDefault="008074AB" w:rsidP="008074AB">
      <w:pPr>
        <w:ind w:left="360"/>
        <w:contextualSpacing/>
        <w:rPr>
          <w:rFonts w:ascii="Calibri" w:hAnsi="Calibri" w:cs="Calibri"/>
        </w:rPr>
      </w:pPr>
    </w:p>
    <w:p w14:paraId="40F76511" w14:textId="77777777" w:rsidR="00971CB9" w:rsidRPr="00971CB9" w:rsidRDefault="00971CB9" w:rsidP="00971CB9">
      <w:pPr>
        <w:rPr>
          <w:lang w:val="en-US"/>
        </w:rPr>
      </w:pPr>
      <w:r w:rsidRPr="00971CB9">
        <w:rPr>
          <w:lang w:val="en-US"/>
        </w:rPr>
        <w:t>The Green Desk evaluation and assessment is based on;</w:t>
      </w:r>
    </w:p>
    <w:p w14:paraId="6DED1896" w14:textId="77777777" w:rsidR="00971CB9" w:rsidRPr="00971CB9" w:rsidRDefault="00971CB9" w:rsidP="00971CB9">
      <w:pPr>
        <w:numPr>
          <w:ilvl w:val="0"/>
          <w:numId w:val="6"/>
        </w:numPr>
        <w:contextualSpacing/>
        <w:rPr>
          <w:rFonts w:ascii="Calibri" w:hAnsi="Calibri" w:cs="Calibri"/>
        </w:rPr>
      </w:pPr>
      <w:r w:rsidRPr="00971CB9">
        <w:rPr>
          <w:rFonts w:ascii="Calibri" w:hAnsi="Calibri" w:cs="Calibri"/>
        </w:rPr>
        <w:t>The proposal being in keeping with the aims and terms of the scheme</w:t>
      </w:r>
    </w:p>
    <w:p w14:paraId="5A69D0FD" w14:textId="77777777" w:rsidR="006C0870" w:rsidRDefault="00971CB9" w:rsidP="006C0870">
      <w:pPr>
        <w:numPr>
          <w:ilvl w:val="0"/>
          <w:numId w:val="6"/>
        </w:numPr>
        <w:contextualSpacing/>
        <w:rPr>
          <w:rFonts w:ascii="Calibri" w:hAnsi="Calibri" w:cs="Calibri"/>
        </w:rPr>
      </w:pPr>
      <w:r w:rsidRPr="00971CB9">
        <w:rPr>
          <w:rFonts w:ascii="Calibri" w:hAnsi="Calibri" w:cs="Calibri"/>
        </w:rPr>
        <w:t>Green Service Provider approval</w:t>
      </w:r>
    </w:p>
    <w:p w14:paraId="53B20E29" w14:textId="77777777" w:rsidR="006C0870" w:rsidRDefault="006C0870" w:rsidP="006C0870">
      <w:pPr>
        <w:numPr>
          <w:ilvl w:val="0"/>
          <w:numId w:val="6"/>
        </w:numPr>
        <w:contextualSpacing/>
        <w:rPr>
          <w:rFonts w:ascii="Calibri" w:hAnsi="Calibri" w:cs="Calibri"/>
        </w:rPr>
      </w:pPr>
      <w:r w:rsidRPr="006C0870">
        <w:rPr>
          <w:rFonts w:ascii="Calibri" w:hAnsi="Calibri" w:cs="Calibri"/>
        </w:rPr>
        <w:t>The external course being approved will drive project goals</w:t>
      </w:r>
    </w:p>
    <w:p w14:paraId="18DD6BD9" w14:textId="22D154E1" w:rsidR="008074AB" w:rsidRPr="006C0870" w:rsidRDefault="00971CB9" w:rsidP="006C0870">
      <w:pPr>
        <w:numPr>
          <w:ilvl w:val="0"/>
          <w:numId w:val="6"/>
        </w:numPr>
        <w:contextualSpacing/>
        <w:rPr>
          <w:rFonts w:ascii="Calibri" w:hAnsi="Calibri" w:cs="Calibri"/>
        </w:rPr>
      </w:pPr>
      <w:r w:rsidRPr="006C0870">
        <w:rPr>
          <w:rFonts w:ascii="Calibri" w:hAnsi="Calibri" w:cs="Calibri"/>
        </w:rPr>
        <w:t>The eligible costs being in line with the terms of the scheme</w:t>
      </w:r>
    </w:p>
    <w:p w14:paraId="436D59B9" w14:textId="1F54F23A" w:rsidR="008074AB" w:rsidRPr="008074AB" w:rsidRDefault="008074AB" w:rsidP="008074AB">
      <w:pPr>
        <w:numPr>
          <w:ilvl w:val="0"/>
          <w:numId w:val="6"/>
        </w:numPr>
        <w:contextualSpacing/>
        <w:rPr>
          <w:rFonts w:ascii="Calibri" w:hAnsi="Calibri" w:cs="Calibri"/>
        </w:rPr>
      </w:pPr>
      <w:r w:rsidRPr="008074AB">
        <w:rPr>
          <w:rFonts w:ascii="Calibri" w:hAnsi="Calibri" w:cs="Calibri"/>
        </w:rPr>
        <w:t>Compliance of the project with DNSH requirements</w:t>
      </w:r>
    </w:p>
    <w:p w14:paraId="446AE333" w14:textId="77777777" w:rsidR="00F51438" w:rsidRPr="00971CB9" w:rsidRDefault="00F51438" w:rsidP="00F51438">
      <w:pPr>
        <w:ind w:left="360"/>
        <w:contextualSpacing/>
        <w:rPr>
          <w:rFonts w:ascii="Calibri" w:hAnsi="Calibri" w:cs="Calibri"/>
        </w:rPr>
      </w:pPr>
    </w:p>
    <w:p w14:paraId="235B42CF" w14:textId="77777777" w:rsidR="00971CB9" w:rsidRPr="00971CB9" w:rsidRDefault="00971CB9" w:rsidP="00971CB9">
      <w:pPr>
        <w:keepNext/>
        <w:keepLines/>
        <w:spacing w:before="40" w:after="0"/>
        <w:outlineLvl w:val="1"/>
        <w:rPr>
          <w:rFonts w:asciiTheme="majorHAnsi" w:eastAsiaTheme="majorEastAsia" w:hAnsiTheme="majorHAnsi" w:cstheme="majorBidi"/>
          <w:color w:val="2F5496" w:themeColor="accent1" w:themeShade="BF"/>
          <w:sz w:val="26"/>
          <w:szCs w:val="26"/>
          <w:lang w:val="en-US"/>
        </w:rPr>
      </w:pPr>
      <w:r w:rsidRPr="00971CB9">
        <w:rPr>
          <w:rFonts w:asciiTheme="majorHAnsi" w:eastAsiaTheme="majorEastAsia" w:hAnsiTheme="majorHAnsi" w:cstheme="majorBidi"/>
          <w:color w:val="2F5496" w:themeColor="accent1" w:themeShade="BF"/>
          <w:sz w:val="26"/>
          <w:szCs w:val="26"/>
          <w:lang w:val="en-US"/>
        </w:rPr>
        <w:t>Claims</w:t>
      </w:r>
    </w:p>
    <w:p w14:paraId="7F1EC9C0" w14:textId="77777777" w:rsidR="00971CB9" w:rsidRPr="00971CB9" w:rsidRDefault="00971CB9" w:rsidP="00971CB9">
      <w:pPr>
        <w:numPr>
          <w:ilvl w:val="0"/>
          <w:numId w:val="6"/>
        </w:numPr>
        <w:contextualSpacing/>
        <w:rPr>
          <w:rFonts w:ascii="Calibri" w:hAnsi="Calibri" w:cs="Calibri"/>
        </w:rPr>
      </w:pPr>
      <w:r w:rsidRPr="00971CB9">
        <w:rPr>
          <w:rFonts w:ascii="Calibri" w:hAnsi="Calibri" w:cs="Calibri"/>
        </w:rPr>
        <w:t>A maximum of 2 claims can be made; an interim claim and a second final claim</w:t>
      </w:r>
    </w:p>
    <w:p w14:paraId="5B2EC0B0" w14:textId="77777777" w:rsidR="00971CB9" w:rsidRPr="00971CB9" w:rsidRDefault="00971CB9" w:rsidP="00971CB9">
      <w:pPr>
        <w:numPr>
          <w:ilvl w:val="0"/>
          <w:numId w:val="6"/>
        </w:numPr>
        <w:contextualSpacing/>
        <w:rPr>
          <w:rFonts w:ascii="Calibri" w:hAnsi="Calibri" w:cs="Calibri"/>
        </w:rPr>
      </w:pPr>
      <w:r w:rsidRPr="00971CB9">
        <w:rPr>
          <w:rFonts w:ascii="Calibri" w:hAnsi="Calibri" w:cs="Calibri"/>
        </w:rPr>
        <w:t xml:space="preserve">An interim claim can be made at any time after expenditure has been incurred, the interim claim and supporting documentation are submitted to </w:t>
      </w:r>
      <w:hyperlink r:id="rId16" w:history="1">
        <w:r w:rsidRPr="00971CB9">
          <w:rPr>
            <w:rFonts w:ascii="Calibri" w:hAnsi="Calibri" w:cs="Calibri"/>
            <w:color w:val="0000FF"/>
            <w:u w:val="single"/>
          </w:rPr>
          <w:t>IndustryGrantClaims@enterprise-ireland.com</w:t>
        </w:r>
      </w:hyperlink>
      <w:r w:rsidRPr="00971CB9">
        <w:rPr>
          <w:rFonts w:ascii="Calibri" w:hAnsi="Calibri" w:cs="Calibri"/>
        </w:rPr>
        <w:t xml:space="preserve"> </w:t>
      </w:r>
    </w:p>
    <w:p w14:paraId="337A88C5" w14:textId="77777777" w:rsidR="00E604BA" w:rsidRDefault="00971CB9" w:rsidP="00E604BA">
      <w:pPr>
        <w:numPr>
          <w:ilvl w:val="0"/>
          <w:numId w:val="6"/>
        </w:numPr>
        <w:contextualSpacing/>
        <w:rPr>
          <w:rFonts w:ascii="Calibri" w:hAnsi="Calibri" w:cs="Calibri"/>
        </w:rPr>
      </w:pPr>
      <w:r w:rsidRPr="00971CB9">
        <w:rPr>
          <w:rFonts w:ascii="Calibri" w:hAnsi="Calibri" w:cs="Calibri"/>
        </w:rPr>
        <w:t xml:space="preserve">When the assignment is complete the final claim with supporting documentation are submitted to </w:t>
      </w:r>
      <w:hyperlink r:id="rId17" w:history="1">
        <w:r w:rsidRPr="00971CB9">
          <w:rPr>
            <w:rFonts w:ascii="Calibri" w:hAnsi="Calibri" w:cs="Calibri"/>
            <w:color w:val="0000FF"/>
            <w:u w:val="single"/>
          </w:rPr>
          <w:t>IndustryGrantClaims@enterprise-ireland.com</w:t>
        </w:r>
      </w:hyperlink>
      <w:r w:rsidRPr="00971CB9">
        <w:rPr>
          <w:rFonts w:ascii="Calibri" w:hAnsi="Calibri" w:cs="Calibri"/>
        </w:rPr>
        <w:t xml:space="preserve"> </w:t>
      </w:r>
    </w:p>
    <w:p w14:paraId="42F22BE4" w14:textId="1F711078" w:rsidR="00E604BA" w:rsidRPr="00FC76D7" w:rsidRDefault="00E604BA" w:rsidP="00E604BA">
      <w:pPr>
        <w:numPr>
          <w:ilvl w:val="0"/>
          <w:numId w:val="6"/>
        </w:numPr>
        <w:contextualSpacing/>
        <w:rPr>
          <w:rFonts w:ascii="Calibri" w:hAnsi="Calibri" w:cs="Calibri"/>
        </w:rPr>
      </w:pPr>
      <w:r w:rsidRPr="00FC76D7">
        <w:rPr>
          <w:rFonts w:ascii="Calibri" w:hAnsi="Calibri" w:cs="Calibri"/>
        </w:rPr>
        <w:t>Final Claim date is 12 months from approval date.</w:t>
      </w:r>
    </w:p>
    <w:p w14:paraId="3044A1BC" w14:textId="1E80B97C" w:rsidR="00971CB9" w:rsidRPr="000403A4" w:rsidRDefault="00971CB9" w:rsidP="00DC4BF5">
      <w:pPr>
        <w:numPr>
          <w:ilvl w:val="0"/>
          <w:numId w:val="6"/>
        </w:numPr>
        <w:contextualSpacing/>
        <w:rPr>
          <w:rFonts w:ascii="Calibri" w:hAnsi="Calibri" w:cs="Calibri"/>
        </w:rPr>
      </w:pPr>
      <w:r w:rsidRPr="000403A4">
        <w:rPr>
          <w:rFonts w:ascii="Calibri" w:hAnsi="Calibri" w:cs="Calibri"/>
        </w:rPr>
        <w:t>Details of the claim process and documentation required are available</w:t>
      </w:r>
      <w:bookmarkEnd w:id="0"/>
      <w:r w:rsidR="00992396" w:rsidRPr="000403A4">
        <w:rPr>
          <w:rFonts w:ascii="Calibri" w:hAnsi="Calibri" w:cs="Calibri"/>
        </w:rPr>
        <w:t xml:space="preserve"> here: </w:t>
      </w:r>
      <w:hyperlink r:id="rId18" w:history="1">
        <w:r w:rsidR="00992396" w:rsidRPr="000403A4">
          <w:rPr>
            <w:rStyle w:val="Hyperlink"/>
            <w:rFonts w:ascii="Calibri" w:hAnsi="Calibri" w:cs="Calibri"/>
          </w:rPr>
          <w:t>https://www.enterprise-ireland.com/en/supports/claims</w:t>
        </w:r>
      </w:hyperlink>
      <w:r w:rsidR="00992396" w:rsidRPr="000403A4">
        <w:rPr>
          <w:rFonts w:ascii="Calibri" w:hAnsi="Calibri" w:cs="Calibri"/>
        </w:rPr>
        <w:t xml:space="preserve"> </w:t>
      </w:r>
    </w:p>
    <w:p w14:paraId="6879AFA9" w14:textId="3C09EFA6" w:rsidR="00683471" w:rsidRDefault="00683471" w:rsidP="003C354E">
      <w:pPr>
        <w:contextualSpacing/>
        <w:rPr>
          <w:rFonts w:ascii="Calibri" w:hAnsi="Calibri" w:cs="Calibri"/>
          <w:color w:val="0000FF"/>
          <w:u w:val="single"/>
        </w:rPr>
      </w:pPr>
    </w:p>
    <w:p w14:paraId="1BA9D1D4" w14:textId="77777777" w:rsidR="00253FB2" w:rsidRDefault="00253FB2" w:rsidP="003C354E">
      <w:pPr>
        <w:contextualSpacing/>
        <w:rPr>
          <w:rFonts w:ascii="Calibri" w:hAnsi="Calibri" w:cs="Calibri"/>
          <w:color w:val="0000FF"/>
          <w:u w:val="single"/>
        </w:rPr>
      </w:pPr>
    </w:p>
    <w:p w14:paraId="1642202A" w14:textId="77777777" w:rsidR="003C354E" w:rsidRPr="008240F2" w:rsidRDefault="003C354E" w:rsidP="003C354E">
      <w:pPr>
        <w:spacing w:after="0"/>
        <w:jc w:val="center"/>
        <w:rPr>
          <w:rFonts w:eastAsia="Calibri" w:cstheme="minorHAnsi"/>
          <w:b/>
          <w:bCs/>
        </w:rPr>
      </w:pPr>
      <w:r w:rsidRPr="008240F2">
        <w:rPr>
          <w:rFonts w:eastAsia="Calibri" w:cstheme="minorHAnsi"/>
          <w:b/>
          <w:bCs/>
        </w:rPr>
        <w:t>Appendix 1: Housing for All – Green Offer Eligibility Criteria</w:t>
      </w:r>
    </w:p>
    <w:p w14:paraId="01D8A016" w14:textId="77777777" w:rsidR="003C354E" w:rsidRPr="008240F2" w:rsidRDefault="003C354E" w:rsidP="003C354E">
      <w:pPr>
        <w:spacing w:after="0"/>
        <w:jc w:val="center"/>
        <w:rPr>
          <w:rFonts w:eastAsia="Calibri" w:cstheme="minorHAnsi"/>
          <w:b/>
          <w:bCs/>
        </w:rPr>
      </w:pPr>
    </w:p>
    <w:p w14:paraId="6E8221A3" w14:textId="77777777" w:rsidR="003C354E" w:rsidRPr="008240F2" w:rsidRDefault="003C354E" w:rsidP="003C354E">
      <w:pPr>
        <w:pStyle w:val="ListParagraph"/>
        <w:numPr>
          <w:ilvl w:val="0"/>
          <w:numId w:val="28"/>
        </w:numPr>
        <w:spacing w:after="0" w:line="276" w:lineRule="auto"/>
        <w:jc w:val="both"/>
        <w:rPr>
          <w:rFonts w:eastAsia="Calibri" w:cstheme="minorHAnsi"/>
          <w:b/>
          <w:bCs/>
        </w:rPr>
      </w:pPr>
      <w:r w:rsidRPr="008240F2">
        <w:rPr>
          <w:rFonts w:eastAsia="Calibri" w:cstheme="minorHAnsi"/>
          <w:b/>
          <w:bCs/>
        </w:rPr>
        <w:t>Background and purpose of this Appendix:</w:t>
      </w:r>
    </w:p>
    <w:p w14:paraId="11516C85" w14:textId="77777777" w:rsidR="003C354E" w:rsidRPr="00912483" w:rsidRDefault="003C354E" w:rsidP="003C354E">
      <w:pPr>
        <w:spacing w:after="0" w:line="276" w:lineRule="auto"/>
        <w:ind w:left="720"/>
        <w:contextualSpacing/>
        <w:jc w:val="both"/>
        <w:rPr>
          <w:rFonts w:eastAsia="Calibri" w:cstheme="minorHAnsi"/>
          <w:b/>
          <w:bCs/>
        </w:rPr>
      </w:pPr>
    </w:p>
    <w:p w14:paraId="7BBCEFEC" w14:textId="77777777" w:rsidR="003C354E" w:rsidRPr="00912483" w:rsidRDefault="003C354E" w:rsidP="003C354E">
      <w:pPr>
        <w:spacing w:after="0" w:line="276" w:lineRule="auto"/>
        <w:jc w:val="both"/>
        <w:rPr>
          <w:rFonts w:eastAsia="Calibri" w:cstheme="minorHAnsi"/>
        </w:rPr>
      </w:pPr>
      <w:r w:rsidRPr="00912483">
        <w:rPr>
          <w:rFonts w:eastAsia="Calibri" w:cstheme="minorHAnsi"/>
        </w:rPr>
        <w:lastRenderedPageBreak/>
        <w:t>On September 2</w:t>
      </w:r>
      <w:r w:rsidRPr="00912483">
        <w:rPr>
          <w:rFonts w:eastAsia="Calibri" w:cstheme="minorHAnsi"/>
          <w:vertAlign w:val="superscript"/>
        </w:rPr>
        <w:t>nd</w:t>
      </w:r>
      <w:r w:rsidRPr="00912483">
        <w:rPr>
          <w:rFonts w:eastAsia="Calibri" w:cstheme="minorHAnsi"/>
        </w:rPr>
        <w:t xml:space="preserve"> 2021 the housing for All plan was announced by Government. Under Pathway five of the plan Enterprise Ireland has been tasked with providing productivity, innovation and research supports to the domestic residential construction industry. </w:t>
      </w:r>
    </w:p>
    <w:p w14:paraId="1A4D2720" w14:textId="77777777" w:rsidR="003C354E" w:rsidRPr="00912483" w:rsidRDefault="003C354E" w:rsidP="003C354E">
      <w:pPr>
        <w:spacing w:after="0" w:line="276" w:lineRule="auto"/>
        <w:jc w:val="both"/>
        <w:rPr>
          <w:rFonts w:eastAsia="Calibri" w:cstheme="minorHAnsi"/>
        </w:rPr>
      </w:pPr>
    </w:p>
    <w:p w14:paraId="1CE2A9CE" w14:textId="77777777" w:rsidR="003C354E" w:rsidRPr="00912483" w:rsidRDefault="003C354E" w:rsidP="003C354E">
      <w:pPr>
        <w:spacing w:after="0" w:line="276" w:lineRule="auto"/>
        <w:jc w:val="both"/>
        <w:rPr>
          <w:rFonts w:eastAsia="Calibri" w:cstheme="minorHAnsi"/>
        </w:rPr>
      </w:pPr>
      <w:r w:rsidRPr="00912483">
        <w:rPr>
          <w:rFonts w:eastAsia="Calibri" w:cstheme="minorHAnsi"/>
        </w:rPr>
        <w:t>Action 23.4 reads “Expand the role of enterprise agencies to include funding and supports for innovation and productivity related projects in the domestic residential construction sector, with funding for research, innovation and productivity to be provided, commensurate with the scale of construction in the domestic economy and in compliance with State Aid rules.”</w:t>
      </w:r>
    </w:p>
    <w:p w14:paraId="3E98F9A3" w14:textId="77777777" w:rsidR="003C354E" w:rsidRPr="00912483" w:rsidRDefault="003C354E" w:rsidP="003C354E">
      <w:pPr>
        <w:spacing w:after="0" w:line="276" w:lineRule="auto"/>
        <w:jc w:val="both"/>
        <w:rPr>
          <w:rFonts w:eastAsia="Calibri" w:cstheme="minorHAnsi"/>
        </w:rPr>
      </w:pPr>
    </w:p>
    <w:p w14:paraId="0DADA5BB" w14:textId="77777777" w:rsidR="003C354E" w:rsidRPr="00912483" w:rsidRDefault="003C354E" w:rsidP="003C354E">
      <w:pPr>
        <w:spacing w:line="276" w:lineRule="auto"/>
        <w:jc w:val="both"/>
        <w:rPr>
          <w:rFonts w:eastAsia="Calibri" w:cstheme="minorHAnsi"/>
        </w:rPr>
      </w:pPr>
      <w:r w:rsidRPr="00912483">
        <w:rPr>
          <w:rFonts w:eastAsia="Calibri" w:cstheme="minorHAnsi"/>
        </w:rPr>
        <w:t xml:space="preserve">Several existing Enterprise Ireland offers are being utilised to deliver on these actions. </w:t>
      </w:r>
      <w:r>
        <w:rPr>
          <w:rFonts w:eastAsia="Calibri" w:cstheme="minorHAnsi"/>
        </w:rPr>
        <w:t xml:space="preserve">The Housing for All plan also sets out that new housing should be built with environmental sustainability as a core consideration. Acknowledging this, where clients are undertaking productivity or innovation projects that present complimentary requirements for enhanced sustainability Enterprise Ireland’s Green offers may be made available to them. </w:t>
      </w:r>
      <w:r w:rsidRPr="00912483">
        <w:rPr>
          <w:rFonts w:eastAsia="Calibri" w:cstheme="minorHAnsi"/>
        </w:rPr>
        <w:t xml:space="preserve">This Appendix sets out the specific eligibility and other criteria required to make the </w:t>
      </w:r>
      <w:r w:rsidRPr="00912483">
        <w:rPr>
          <w:rFonts w:eastAsia="Calibri" w:cstheme="minorHAnsi"/>
          <w:color w:val="000000"/>
        </w:rPr>
        <w:t xml:space="preserve">Green Offer </w:t>
      </w:r>
      <w:r w:rsidRPr="00912483">
        <w:rPr>
          <w:rFonts w:eastAsia="Calibri" w:cstheme="minorHAnsi"/>
        </w:rPr>
        <w:t xml:space="preserve">compatible with Housing for All. </w:t>
      </w:r>
    </w:p>
    <w:p w14:paraId="59BB9D4C" w14:textId="77777777" w:rsidR="003C354E" w:rsidRPr="00912483" w:rsidRDefault="003C354E" w:rsidP="003C354E">
      <w:pPr>
        <w:spacing w:line="276" w:lineRule="auto"/>
        <w:jc w:val="both"/>
        <w:rPr>
          <w:rFonts w:eastAsia="Calibri" w:cstheme="minorHAnsi"/>
          <w:b/>
          <w:bCs/>
          <w:color w:val="000000"/>
        </w:rPr>
      </w:pPr>
      <w:r w:rsidRPr="00912483">
        <w:rPr>
          <w:rFonts w:eastAsia="Calibri" w:cstheme="minorHAnsi"/>
          <w:b/>
          <w:bCs/>
          <w:color w:val="000000"/>
        </w:rPr>
        <w:t xml:space="preserve">2. Product Details </w:t>
      </w:r>
    </w:p>
    <w:p w14:paraId="0D8E4674" w14:textId="77777777" w:rsidR="003C354E" w:rsidRPr="00912483" w:rsidRDefault="003C354E" w:rsidP="003C354E">
      <w:pPr>
        <w:spacing w:line="276" w:lineRule="auto"/>
        <w:jc w:val="both"/>
        <w:rPr>
          <w:rFonts w:eastAsia="Calibri" w:cstheme="minorHAnsi"/>
          <w:b/>
          <w:bCs/>
          <w:color w:val="000000"/>
        </w:rPr>
      </w:pPr>
      <w:r w:rsidRPr="00912483">
        <w:rPr>
          <w:rFonts w:eastAsia="Calibri" w:cstheme="minorHAnsi"/>
          <w:b/>
          <w:bCs/>
          <w:color w:val="000000"/>
        </w:rPr>
        <w:t>2.1 Funding, Including Eligible Expenditure and Ineligible Expenditure</w:t>
      </w:r>
    </w:p>
    <w:p w14:paraId="26317B73" w14:textId="6D1D2F5B" w:rsidR="003C354E" w:rsidRPr="00912483" w:rsidRDefault="003C354E" w:rsidP="003C354E">
      <w:pPr>
        <w:spacing w:line="276" w:lineRule="auto"/>
        <w:jc w:val="both"/>
        <w:rPr>
          <w:rFonts w:eastAsia="Calibri" w:cstheme="minorHAnsi"/>
          <w:color w:val="000000"/>
        </w:rPr>
      </w:pPr>
      <w:r w:rsidRPr="00912483">
        <w:rPr>
          <w:rFonts w:eastAsia="Calibri" w:cstheme="minorHAnsi"/>
          <w:color w:val="000000"/>
        </w:rPr>
        <w:t>Applicants for the Housing for All Offer must meet the specific eligibility and other requirements for the Green Offer in accordance with the Reference Document for that offer, subject to the additional specific criteria outlined in this Appendix. This includes all funding being awarded in accordance with the Legal and State Aid Frameworks that govern each Green Offer</w:t>
      </w:r>
      <w:r w:rsidR="009A6C59">
        <w:rPr>
          <w:rFonts w:eastAsia="Calibri" w:cstheme="minorHAnsi"/>
          <w:color w:val="000000"/>
        </w:rPr>
        <w:t>.</w:t>
      </w:r>
    </w:p>
    <w:p w14:paraId="5359C42A" w14:textId="77777777" w:rsidR="003C354E" w:rsidRPr="00912483" w:rsidRDefault="003C354E" w:rsidP="003C354E">
      <w:pPr>
        <w:spacing w:line="276" w:lineRule="auto"/>
        <w:jc w:val="both"/>
        <w:rPr>
          <w:rFonts w:eastAsia="Calibri" w:cstheme="minorHAnsi"/>
          <w:b/>
          <w:bCs/>
          <w:color w:val="000000"/>
        </w:rPr>
      </w:pPr>
      <w:r w:rsidRPr="00912483">
        <w:rPr>
          <w:rFonts w:eastAsia="Calibri" w:cstheme="minorHAnsi"/>
          <w:b/>
          <w:bCs/>
          <w:color w:val="000000"/>
        </w:rPr>
        <w:t xml:space="preserve">2.2 Eligible Applicants and Ineligible Applicants </w:t>
      </w:r>
    </w:p>
    <w:p w14:paraId="35C773D9" w14:textId="77777777" w:rsidR="003C354E" w:rsidRPr="00912483" w:rsidRDefault="003C354E" w:rsidP="003C354E">
      <w:pPr>
        <w:spacing w:after="0" w:line="276" w:lineRule="auto"/>
        <w:jc w:val="both"/>
        <w:rPr>
          <w:rFonts w:eastAsia="Calibri" w:cstheme="minorHAnsi"/>
        </w:rPr>
      </w:pPr>
      <w:r w:rsidRPr="00912483">
        <w:rPr>
          <w:rFonts w:eastAsia="Calibri" w:cstheme="minorHAnsi"/>
          <w:color w:val="000000"/>
        </w:rPr>
        <w:t xml:space="preserve">In addition to the established eligibility criteria for the Green Offer, the offer is also available to companies who qualify for Enterprise Ireland’s </w:t>
      </w:r>
      <w:r w:rsidRPr="00912483">
        <w:rPr>
          <w:rFonts w:eastAsia="Calibri" w:cstheme="minorHAnsi"/>
          <w:i/>
          <w:iCs/>
          <w:color w:val="000000"/>
        </w:rPr>
        <w:t xml:space="preserve">Housing for All Offer. </w:t>
      </w:r>
      <w:r w:rsidRPr="00912483">
        <w:rPr>
          <w:rFonts w:eastAsia="Calibri" w:cstheme="minorHAnsi"/>
          <w:color w:val="000000"/>
        </w:rPr>
        <w:t xml:space="preserve">Applicants who qualify for the </w:t>
      </w:r>
      <w:r w:rsidRPr="00912483">
        <w:rPr>
          <w:rFonts w:eastAsia="Calibri" w:cstheme="minorHAnsi"/>
          <w:i/>
          <w:iCs/>
          <w:color w:val="000000"/>
        </w:rPr>
        <w:t>Housing for All Offer</w:t>
      </w:r>
      <w:r w:rsidRPr="00912483">
        <w:rPr>
          <w:rFonts w:eastAsia="Calibri" w:cstheme="minorHAnsi"/>
          <w:color w:val="000000"/>
        </w:rPr>
        <w:t xml:space="preserve"> are exempt from the requirement of being an existing or potential client of Enterprise Ireland and Údarás na Gaeltachta to avail of the Green Offer. Being a client of a Local Enterprise Office is not a disqualifier, provided the applicant qualifies for </w:t>
      </w:r>
      <w:r w:rsidRPr="00912483">
        <w:rPr>
          <w:rFonts w:eastAsia="Calibri" w:cstheme="minorHAnsi"/>
          <w:i/>
          <w:iCs/>
          <w:color w:val="000000"/>
        </w:rPr>
        <w:t>the Housing for All Offer.</w:t>
      </w:r>
      <w:r w:rsidRPr="00912483">
        <w:rPr>
          <w:rFonts w:eastAsia="Calibri" w:cstheme="minorHAnsi"/>
          <w:color w:val="000000"/>
        </w:rPr>
        <w:t xml:space="preserve"> </w:t>
      </w:r>
    </w:p>
    <w:p w14:paraId="3FB41796" w14:textId="77777777" w:rsidR="003C354E" w:rsidRPr="00912483" w:rsidRDefault="003C354E" w:rsidP="003C354E">
      <w:pPr>
        <w:spacing w:after="0" w:line="276" w:lineRule="auto"/>
        <w:jc w:val="both"/>
        <w:rPr>
          <w:rFonts w:eastAsia="Calibri" w:cstheme="minorHAnsi"/>
        </w:rPr>
      </w:pPr>
    </w:p>
    <w:p w14:paraId="7AF9A177" w14:textId="77777777" w:rsidR="003C354E" w:rsidRPr="00912483" w:rsidRDefault="003C354E" w:rsidP="003C354E">
      <w:pPr>
        <w:spacing w:after="0" w:line="276" w:lineRule="auto"/>
        <w:jc w:val="both"/>
        <w:rPr>
          <w:rFonts w:eastAsia="Calibri" w:cstheme="minorHAnsi"/>
        </w:rPr>
      </w:pPr>
      <w:r w:rsidRPr="00912483">
        <w:rPr>
          <w:rFonts w:eastAsia="Calibri" w:cstheme="minorHAnsi"/>
        </w:rPr>
        <w:t xml:space="preserve">Enterprise Ireland’s </w:t>
      </w:r>
      <w:r w:rsidRPr="00912483">
        <w:rPr>
          <w:rFonts w:eastAsia="Calibri" w:cstheme="minorHAnsi"/>
          <w:i/>
          <w:iCs/>
        </w:rPr>
        <w:t>Housing for All Offer</w:t>
      </w:r>
      <w:r w:rsidRPr="00912483">
        <w:rPr>
          <w:rFonts w:eastAsia="Calibri" w:cstheme="minorHAnsi"/>
        </w:rPr>
        <w:t xml:space="preserve"> is open to Irish companies who employ 10 or more full time people equivalents working in homebuilding and can demonstrate an ability to deliver on the objectives of this fund.  This includes, but is not limited to:</w:t>
      </w:r>
    </w:p>
    <w:p w14:paraId="55B4597A" w14:textId="77777777" w:rsidR="003C354E" w:rsidRPr="00912483" w:rsidRDefault="003C354E" w:rsidP="003C354E">
      <w:pPr>
        <w:spacing w:after="0" w:line="276" w:lineRule="auto"/>
        <w:jc w:val="both"/>
        <w:rPr>
          <w:rFonts w:eastAsia="Calibri" w:cstheme="minorHAnsi"/>
        </w:rPr>
      </w:pPr>
    </w:p>
    <w:p w14:paraId="02D971EB" w14:textId="77777777" w:rsidR="003C354E" w:rsidRPr="00912483" w:rsidRDefault="003C354E" w:rsidP="003C354E">
      <w:pPr>
        <w:numPr>
          <w:ilvl w:val="0"/>
          <w:numId w:val="23"/>
        </w:numPr>
        <w:spacing w:after="0" w:line="276" w:lineRule="auto"/>
        <w:contextualSpacing/>
        <w:jc w:val="both"/>
        <w:rPr>
          <w:rFonts w:eastAsia="Calibri" w:cstheme="minorHAnsi"/>
        </w:rPr>
      </w:pPr>
      <w:r w:rsidRPr="00912483">
        <w:rPr>
          <w:rFonts w:eastAsia="Calibri" w:cstheme="minorHAnsi"/>
        </w:rPr>
        <w:t>Contractors;</w:t>
      </w:r>
    </w:p>
    <w:p w14:paraId="6AF3FA9E" w14:textId="77777777" w:rsidR="003C354E" w:rsidRPr="00912483" w:rsidRDefault="003C354E" w:rsidP="003C354E">
      <w:pPr>
        <w:numPr>
          <w:ilvl w:val="0"/>
          <w:numId w:val="23"/>
        </w:numPr>
        <w:spacing w:after="0" w:line="276" w:lineRule="auto"/>
        <w:contextualSpacing/>
        <w:jc w:val="both"/>
        <w:rPr>
          <w:rFonts w:eastAsia="Calibri" w:cstheme="minorHAnsi"/>
        </w:rPr>
      </w:pPr>
      <w:r w:rsidRPr="00912483">
        <w:rPr>
          <w:rFonts w:eastAsia="Calibri" w:cstheme="minorHAnsi"/>
        </w:rPr>
        <w:t>Builder developers;</w:t>
      </w:r>
    </w:p>
    <w:p w14:paraId="2CE26CB9" w14:textId="77777777" w:rsidR="003C354E" w:rsidRPr="00912483" w:rsidRDefault="003C354E" w:rsidP="003C354E">
      <w:pPr>
        <w:numPr>
          <w:ilvl w:val="0"/>
          <w:numId w:val="23"/>
        </w:numPr>
        <w:spacing w:after="0" w:line="276" w:lineRule="auto"/>
        <w:contextualSpacing/>
        <w:jc w:val="both"/>
        <w:rPr>
          <w:rFonts w:eastAsia="Calibri" w:cstheme="minorHAnsi"/>
        </w:rPr>
      </w:pPr>
      <w:r w:rsidRPr="00912483">
        <w:rPr>
          <w:rFonts w:eastAsia="Calibri" w:cstheme="minorHAnsi"/>
        </w:rPr>
        <w:t xml:space="preserve">Sub-contractors; </w:t>
      </w:r>
    </w:p>
    <w:p w14:paraId="0571C037" w14:textId="77777777" w:rsidR="003C354E" w:rsidRPr="00912483" w:rsidRDefault="003C354E" w:rsidP="003C354E">
      <w:pPr>
        <w:numPr>
          <w:ilvl w:val="0"/>
          <w:numId w:val="23"/>
        </w:numPr>
        <w:spacing w:after="0" w:line="276" w:lineRule="auto"/>
        <w:contextualSpacing/>
        <w:jc w:val="both"/>
        <w:rPr>
          <w:rFonts w:eastAsia="Calibri" w:cstheme="minorHAnsi"/>
          <w:i/>
          <w:iCs/>
        </w:rPr>
      </w:pPr>
      <w:r w:rsidRPr="00912483">
        <w:rPr>
          <w:rFonts w:eastAsia="Calibri" w:cstheme="minorHAnsi"/>
        </w:rPr>
        <w:t>Modern Methods of Construction manufacturing companies.</w:t>
      </w:r>
    </w:p>
    <w:p w14:paraId="77E7AAA2" w14:textId="77777777" w:rsidR="003C354E" w:rsidRPr="00912483" w:rsidRDefault="003C354E" w:rsidP="003C354E">
      <w:pPr>
        <w:spacing w:after="0" w:line="276" w:lineRule="auto"/>
        <w:ind w:left="720"/>
        <w:contextualSpacing/>
        <w:jc w:val="both"/>
        <w:rPr>
          <w:rFonts w:eastAsia="Calibri" w:cstheme="minorHAnsi"/>
          <w:i/>
          <w:iCs/>
        </w:rPr>
      </w:pPr>
    </w:p>
    <w:p w14:paraId="0D8A12F3" w14:textId="77777777" w:rsidR="003C354E" w:rsidRDefault="003C354E" w:rsidP="003C354E">
      <w:pPr>
        <w:rPr>
          <w:rFonts w:eastAsia="Calibri" w:cstheme="minorHAnsi"/>
          <w:b/>
          <w:bCs/>
        </w:rPr>
      </w:pPr>
      <w:r>
        <w:rPr>
          <w:rFonts w:eastAsia="Calibri" w:cstheme="minorHAnsi"/>
          <w:b/>
          <w:bCs/>
        </w:rPr>
        <w:br w:type="page"/>
      </w:r>
    </w:p>
    <w:p w14:paraId="05059EC4" w14:textId="77777777" w:rsidR="003C354E" w:rsidRPr="00912483" w:rsidRDefault="003C354E" w:rsidP="003C354E">
      <w:pPr>
        <w:spacing w:after="0" w:line="276" w:lineRule="auto"/>
        <w:jc w:val="both"/>
        <w:rPr>
          <w:rFonts w:eastAsia="Calibri" w:cstheme="minorHAnsi"/>
          <w:b/>
          <w:bCs/>
        </w:rPr>
      </w:pPr>
      <w:r w:rsidRPr="00912483">
        <w:rPr>
          <w:rFonts w:eastAsia="Calibri" w:cstheme="minorHAnsi"/>
          <w:b/>
          <w:bCs/>
        </w:rPr>
        <w:lastRenderedPageBreak/>
        <w:t>Ineligible Companies</w:t>
      </w:r>
    </w:p>
    <w:p w14:paraId="43A8784E" w14:textId="77777777" w:rsidR="003C354E" w:rsidRPr="00912483" w:rsidRDefault="003C354E" w:rsidP="003C354E">
      <w:pPr>
        <w:spacing w:after="0" w:line="276" w:lineRule="auto"/>
        <w:jc w:val="both"/>
        <w:rPr>
          <w:rFonts w:eastAsia="Calibri" w:cstheme="minorHAnsi"/>
        </w:rPr>
      </w:pPr>
      <w:r w:rsidRPr="00912483">
        <w:rPr>
          <w:rFonts w:eastAsia="Calibri" w:cstheme="minorHAnsi"/>
        </w:rPr>
        <w:t xml:space="preserve">Enterprise Ireland’s </w:t>
      </w:r>
      <w:r w:rsidRPr="00912483">
        <w:rPr>
          <w:rFonts w:eastAsia="Calibri" w:cstheme="minorHAnsi"/>
          <w:i/>
        </w:rPr>
        <w:t xml:space="preserve">Housing for All Offer </w:t>
      </w:r>
      <w:r w:rsidRPr="00912483">
        <w:rPr>
          <w:rFonts w:eastAsia="Calibri" w:cstheme="minorHAnsi"/>
        </w:rPr>
        <w:t xml:space="preserve">is </w:t>
      </w:r>
      <w:r w:rsidRPr="00912483">
        <w:rPr>
          <w:rFonts w:eastAsia="Calibri" w:cstheme="minorHAnsi"/>
          <w:u w:val="single"/>
        </w:rPr>
        <w:t>not</w:t>
      </w:r>
      <w:r w:rsidRPr="00912483">
        <w:rPr>
          <w:rFonts w:eastAsia="Calibri" w:cstheme="minorHAnsi"/>
        </w:rPr>
        <w:t xml:space="preserve"> open to companies that meet any one (or more than one) of the below criteria:</w:t>
      </w:r>
    </w:p>
    <w:p w14:paraId="311C1D88" w14:textId="77777777" w:rsidR="003C354E" w:rsidRPr="00912483" w:rsidRDefault="003C354E" w:rsidP="003C354E">
      <w:pPr>
        <w:numPr>
          <w:ilvl w:val="0"/>
          <w:numId w:val="24"/>
        </w:numPr>
        <w:spacing w:after="0" w:line="276" w:lineRule="auto"/>
        <w:contextualSpacing/>
        <w:jc w:val="both"/>
        <w:rPr>
          <w:rFonts w:eastAsia="Calibri" w:cstheme="minorHAnsi"/>
        </w:rPr>
      </w:pPr>
      <w:r w:rsidRPr="00912483">
        <w:rPr>
          <w:rFonts w:eastAsia="Calibri" w:cstheme="minorHAnsi"/>
        </w:rPr>
        <w:t xml:space="preserve">Property developers who do not self-perform any construction work. </w:t>
      </w:r>
    </w:p>
    <w:p w14:paraId="1EA5B20A" w14:textId="77777777" w:rsidR="003C354E" w:rsidRPr="00912483" w:rsidRDefault="003C354E" w:rsidP="003C354E">
      <w:pPr>
        <w:numPr>
          <w:ilvl w:val="0"/>
          <w:numId w:val="24"/>
        </w:numPr>
        <w:spacing w:after="0" w:line="276" w:lineRule="auto"/>
        <w:jc w:val="both"/>
        <w:rPr>
          <w:rFonts w:eastAsia="Calibri" w:cstheme="minorHAnsi"/>
        </w:rPr>
      </w:pPr>
      <w:r w:rsidRPr="00912483">
        <w:rPr>
          <w:rFonts w:eastAsia="Calibri" w:cstheme="minorHAnsi"/>
        </w:rPr>
        <w:t>Companies employing less than 10 full time people.</w:t>
      </w:r>
    </w:p>
    <w:p w14:paraId="55ABF5FC" w14:textId="77777777" w:rsidR="003C354E" w:rsidRPr="00912483" w:rsidRDefault="003C354E" w:rsidP="003C354E">
      <w:pPr>
        <w:numPr>
          <w:ilvl w:val="0"/>
          <w:numId w:val="24"/>
        </w:numPr>
        <w:spacing w:after="0" w:line="276" w:lineRule="auto"/>
        <w:jc w:val="both"/>
        <w:rPr>
          <w:rFonts w:eastAsia="Calibri" w:cstheme="minorHAnsi"/>
        </w:rPr>
      </w:pPr>
      <w:r w:rsidRPr="00912483">
        <w:rPr>
          <w:rFonts w:eastAsia="Calibri" w:cstheme="minorHAnsi"/>
        </w:rPr>
        <w:t xml:space="preserve">Companies that currently derive less than 20% of annual revenue from the homebuilding sector and do not have a validated plan to achieve this objective, this plan being satisfactory to Enterprise Ireland. Large companies that may have less than 20% revenue derived from homebuilding but are considered to be capable of delivering substantial numbers of units will also be considered. </w:t>
      </w:r>
    </w:p>
    <w:p w14:paraId="4108A1E8" w14:textId="77777777" w:rsidR="003C354E" w:rsidRPr="00912483" w:rsidRDefault="003C354E" w:rsidP="003C354E">
      <w:pPr>
        <w:numPr>
          <w:ilvl w:val="0"/>
          <w:numId w:val="24"/>
        </w:numPr>
        <w:spacing w:after="0" w:line="276" w:lineRule="auto"/>
        <w:jc w:val="both"/>
        <w:rPr>
          <w:rFonts w:eastAsia="Calibri" w:cstheme="minorHAnsi"/>
        </w:rPr>
      </w:pPr>
      <w:r w:rsidRPr="00912483">
        <w:rPr>
          <w:rFonts w:eastAsia="Calibri" w:cstheme="minorHAnsi"/>
        </w:rPr>
        <w:t>Do not meet the eligibility criteria as outlined in this Appendix</w:t>
      </w:r>
    </w:p>
    <w:p w14:paraId="03382790" w14:textId="77777777" w:rsidR="003C354E" w:rsidRPr="00912483" w:rsidRDefault="003C354E" w:rsidP="003C354E">
      <w:pPr>
        <w:numPr>
          <w:ilvl w:val="0"/>
          <w:numId w:val="24"/>
        </w:numPr>
        <w:spacing w:after="0" w:line="276" w:lineRule="auto"/>
        <w:jc w:val="both"/>
        <w:rPr>
          <w:rFonts w:eastAsia="Calibri" w:cstheme="minorHAnsi"/>
        </w:rPr>
      </w:pPr>
      <w:r w:rsidRPr="00912483">
        <w:rPr>
          <w:rFonts w:eastAsia="Calibri" w:cstheme="minorHAnsi"/>
        </w:rPr>
        <w:t>Are operating in the coal or steel sector.</w:t>
      </w:r>
    </w:p>
    <w:p w14:paraId="1C527078" w14:textId="77777777" w:rsidR="003C354E" w:rsidRPr="00912483" w:rsidRDefault="003C354E" w:rsidP="003C354E">
      <w:pPr>
        <w:numPr>
          <w:ilvl w:val="0"/>
          <w:numId w:val="24"/>
        </w:numPr>
        <w:spacing w:after="0" w:line="276" w:lineRule="auto"/>
        <w:jc w:val="both"/>
        <w:rPr>
          <w:rFonts w:eastAsia="Calibri" w:cstheme="minorHAnsi"/>
        </w:rPr>
      </w:pPr>
      <w:r w:rsidRPr="00912483">
        <w:rPr>
          <w:rFonts w:eastAsia="Calibri" w:cstheme="minorHAnsi"/>
        </w:rPr>
        <w:t>Are active in the primary agricultural, fishery or aquaculture sectors.</w:t>
      </w:r>
    </w:p>
    <w:p w14:paraId="21B16511" w14:textId="77777777" w:rsidR="003C354E" w:rsidRPr="00912483" w:rsidRDefault="003C354E" w:rsidP="003C354E">
      <w:pPr>
        <w:numPr>
          <w:ilvl w:val="0"/>
          <w:numId w:val="24"/>
        </w:numPr>
        <w:spacing w:after="0" w:line="276" w:lineRule="auto"/>
        <w:jc w:val="both"/>
        <w:rPr>
          <w:rFonts w:eastAsia="Calibri" w:cstheme="minorHAnsi"/>
        </w:rPr>
      </w:pPr>
      <w:r w:rsidRPr="00912483">
        <w:rPr>
          <w:rFonts w:eastAsia="Calibri" w:cstheme="minorHAnsi"/>
        </w:rPr>
        <w:t>Are covered by specific rules for Financial Services.</w:t>
      </w:r>
      <w:r w:rsidRPr="00912483">
        <w:rPr>
          <w:rFonts w:eastAsia="Calibri" w:cstheme="minorHAnsi"/>
          <w:vertAlign w:val="superscript"/>
        </w:rPr>
        <w:footnoteReference w:id="7"/>
      </w:r>
    </w:p>
    <w:p w14:paraId="2D7F13DF" w14:textId="77777777" w:rsidR="003C354E" w:rsidRPr="00912483" w:rsidRDefault="003C354E" w:rsidP="003C354E">
      <w:pPr>
        <w:numPr>
          <w:ilvl w:val="0"/>
          <w:numId w:val="24"/>
        </w:numPr>
        <w:autoSpaceDE w:val="0"/>
        <w:autoSpaceDN w:val="0"/>
        <w:adjustRightInd w:val="0"/>
        <w:spacing w:after="0" w:line="276" w:lineRule="auto"/>
        <w:contextualSpacing/>
        <w:jc w:val="both"/>
        <w:rPr>
          <w:rFonts w:eastAsia="Calibri" w:cstheme="minorHAnsi"/>
        </w:rPr>
      </w:pPr>
      <w:r w:rsidRPr="00912483">
        <w:rPr>
          <w:rFonts w:eastAsia="Calibri" w:cstheme="minorHAnsi"/>
        </w:rPr>
        <w:t>Include or relate to activities that Enterprise Ireland considers as ineligible or as involving an unacceptable reputational risk. Ineligible activities include activities relating to:</w:t>
      </w:r>
    </w:p>
    <w:p w14:paraId="7F2A0B8E" w14:textId="77777777" w:rsidR="003C354E" w:rsidRPr="00912483" w:rsidRDefault="003C354E" w:rsidP="003C354E">
      <w:pPr>
        <w:numPr>
          <w:ilvl w:val="1"/>
          <w:numId w:val="24"/>
        </w:numPr>
        <w:autoSpaceDE w:val="0"/>
        <w:autoSpaceDN w:val="0"/>
        <w:adjustRightInd w:val="0"/>
        <w:spacing w:after="0" w:line="276" w:lineRule="auto"/>
        <w:contextualSpacing/>
        <w:jc w:val="both"/>
        <w:rPr>
          <w:rFonts w:eastAsia="Calibri" w:cstheme="minorHAnsi"/>
        </w:rPr>
      </w:pPr>
      <w:r w:rsidRPr="00912483">
        <w:rPr>
          <w:rFonts w:eastAsia="Calibri" w:cstheme="minorHAnsi"/>
        </w:rPr>
        <w:t>The gambling sector, including ‘gaming’ (as defined in the Gaming and Lotteries Act 1956).</w:t>
      </w:r>
    </w:p>
    <w:p w14:paraId="0B0A339C" w14:textId="77777777" w:rsidR="003C354E" w:rsidRPr="00912483" w:rsidRDefault="003C354E" w:rsidP="003C354E">
      <w:pPr>
        <w:numPr>
          <w:ilvl w:val="1"/>
          <w:numId w:val="24"/>
        </w:numPr>
        <w:autoSpaceDE w:val="0"/>
        <w:autoSpaceDN w:val="0"/>
        <w:adjustRightInd w:val="0"/>
        <w:spacing w:after="0" w:line="276" w:lineRule="auto"/>
        <w:contextualSpacing/>
        <w:jc w:val="both"/>
        <w:rPr>
          <w:rFonts w:eastAsia="Calibri" w:cstheme="minorHAnsi"/>
        </w:rPr>
      </w:pPr>
      <w:r w:rsidRPr="00912483">
        <w:rPr>
          <w:rFonts w:eastAsia="Calibri" w:cstheme="minorHAnsi"/>
        </w:rPr>
        <w:t>Adult entertainment.</w:t>
      </w:r>
    </w:p>
    <w:p w14:paraId="216AA63D" w14:textId="77777777" w:rsidR="003C354E" w:rsidRPr="00912483" w:rsidRDefault="003C354E" w:rsidP="003C354E">
      <w:pPr>
        <w:numPr>
          <w:ilvl w:val="1"/>
          <w:numId w:val="24"/>
        </w:numPr>
        <w:autoSpaceDE w:val="0"/>
        <w:autoSpaceDN w:val="0"/>
        <w:adjustRightInd w:val="0"/>
        <w:spacing w:after="0" w:line="276" w:lineRule="auto"/>
        <w:contextualSpacing/>
        <w:jc w:val="both"/>
        <w:rPr>
          <w:rFonts w:eastAsia="Calibri" w:cstheme="minorHAnsi"/>
        </w:rPr>
      </w:pPr>
      <w:r w:rsidRPr="00912483">
        <w:rPr>
          <w:rFonts w:eastAsia="Calibri" w:cstheme="minorHAnsi"/>
        </w:rPr>
        <w:t xml:space="preserve">Tobacco products. </w:t>
      </w:r>
    </w:p>
    <w:p w14:paraId="13783F57" w14:textId="77777777" w:rsidR="003C354E" w:rsidRPr="00912483" w:rsidRDefault="003C354E" w:rsidP="003C354E">
      <w:pPr>
        <w:numPr>
          <w:ilvl w:val="1"/>
          <w:numId w:val="24"/>
        </w:numPr>
        <w:autoSpaceDE w:val="0"/>
        <w:autoSpaceDN w:val="0"/>
        <w:adjustRightInd w:val="0"/>
        <w:spacing w:after="0" w:line="276" w:lineRule="auto"/>
        <w:contextualSpacing/>
        <w:jc w:val="both"/>
        <w:rPr>
          <w:rFonts w:eastAsia="Calibri" w:cstheme="minorHAnsi"/>
        </w:rPr>
      </w:pPr>
      <w:r w:rsidRPr="00912483">
        <w:rPr>
          <w:rFonts w:eastAsia="Calibri" w:cstheme="minorHAnsi"/>
        </w:rPr>
        <w:t>Cannabis-based products which are not authorised as medicines.</w:t>
      </w:r>
    </w:p>
    <w:p w14:paraId="0722A388" w14:textId="77777777" w:rsidR="003C354E" w:rsidRPr="00912483" w:rsidRDefault="003C354E" w:rsidP="003C354E">
      <w:pPr>
        <w:autoSpaceDE w:val="0"/>
        <w:autoSpaceDN w:val="0"/>
        <w:adjustRightInd w:val="0"/>
        <w:spacing w:after="0" w:line="276" w:lineRule="auto"/>
        <w:ind w:left="1440"/>
        <w:contextualSpacing/>
        <w:jc w:val="both"/>
        <w:rPr>
          <w:rFonts w:eastAsia="Calibri" w:cstheme="minorHAnsi"/>
        </w:rPr>
      </w:pPr>
    </w:p>
    <w:p w14:paraId="56E8515A" w14:textId="77777777" w:rsidR="003C354E" w:rsidRPr="00912483" w:rsidRDefault="003C354E" w:rsidP="003C354E">
      <w:pPr>
        <w:spacing w:line="276" w:lineRule="auto"/>
        <w:jc w:val="both"/>
        <w:rPr>
          <w:rFonts w:eastAsia="Calibri" w:cstheme="minorHAnsi"/>
          <w:color w:val="000000"/>
        </w:rPr>
      </w:pPr>
      <w:r w:rsidRPr="00912483">
        <w:rPr>
          <w:rFonts w:eastAsia="Calibri" w:cstheme="minorHAnsi"/>
          <w:b/>
          <w:bCs/>
          <w:color w:val="000000"/>
        </w:rPr>
        <w:t>Note</w:t>
      </w:r>
      <w:r w:rsidRPr="00912483">
        <w:rPr>
          <w:rFonts w:eastAsia="Calibri" w:cstheme="minorHAnsi"/>
          <w:color w:val="000000"/>
        </w:rPr>
        <w:t>: In 2022, under this fund, eligible companies can apply for multiple projects up to a maximum of €500k per undertaking. Funding above this level will be approved in exceptional cases and will be subject to review.</w:t>
      </w:r>
    </w:p>
    <w:p w14:paraId="2985C556" w14:textId="77777777" w:rsidR="003C354E" w:rsidRPr="00912483" w:rsidRDefault="003C354E" w:rsidP="003C354E">
      <w:pPr>
        <w:spacing w:line="276" w:lineRule="auto"/>
        <w:jc w:val="both"/>
        <w:rPr>
          <w:rFonts w:eastAsia="Calibri" w:cstheme="minorHAnsi"/>
          <w:color w:val="000000"/>
        </w:rPr>
      </w:pPr>
      <w:r w:rsidRPr="00912483">
        <w:rPr>
          <w:rFonts w:eastAsia="Calibri" w:cstheme="minorHAnsi"/>
          <w:color w:val="000000"/>
        </w:rPr>
        <w:t xml:space="preserve">In addition, it is expected that a company will not be availing of more than one offer under Housing for All at one time. </w:t>
      </w:r>
    </w:p>
    <w:p w14:paraId="0BF02D57" w14:textId="77777777" w:rsidR="003C354E" w:rsidRPr="00912483" w:rsidRDefault="003C354E" w:rsidP="003C354E">
      <w:pPr>
        <w:spacing w:line="276" w:lineRule="auto"/>
        <w:jc w:val="both"/>
        <w:rPr>
          <w:rFonts w:eastAsia="Calibri" w:cstheme="minorHAnsi"/>
          <w:b/>
          <w:bCs/>
          <w:color w:val="000000"/>
        </w:rPr>
      </w:pPr>
      <w:r w:rsidRPr="00912483">
        <w:rPr>
          <w:rFonts w:eastAsia="Calibri" w:cstheme="minorHAnsi"/>
          <w:b/>
          <w:bCs/>
          <w:color w:val="000000"/>
        </w:rPr>
        <w:t xml:space="preserve">3. Application, Evaluation and Approval Process </w:t>
      </w:r>
    </w:p>
    <w:p w14:paraId="180825D2" w14:textId="77777777" w:rsidR="003C354E" w:rsidRPr="00912483" w:rsidRDefault="003C354E" w:rsidP="003C354E">
      <w:pPr>
        <w:spacing w:line="276" w:lineRule="auto"/>
        <w:jc w:val="both"/>
        <w:rPr>
          <w:rFonts w:eastAsia="Calibri" w:cstheme="minorHAnsi"/>
          <w:color w:val="4472C4"/>
        </w:rPr>
      </w:pPr>
      <w:r w:rsidRPr="00912483">
        <w:rPr>
          <w:rFonts w:eastAsia="Calibri" w:cstheme="minorHAnsi"/>
          <w:b/>
          <w:bCs/>
          <w:color w:val="000000"/>
        </w:rPr>
        <w:t>3.1 Eligible Application</w:t>
      </w:r>
    </w:p>
    <w:p w14:paraId="0B9F9A25" w14:textId="77777777" w:rsidR="003C354E" w:rsidRPr="00912483" w:rsidRDefault="003C354E" w:rsidP="003C354E">
      <w:pPr>
        <w:spacing w:after="0" w:line="276" w:lineRule="auto"/>
        <w:jc w:val="both"/>
        <w:rPr>
          <w:rFonts w:eastAsia="Calibri" w:cstheme="minorHAnsi"/>
          <w:u w:val="single"/>
        </w:rPr>
      </w:pPr>
      <w:r w:rsidRPr="00912483">
        <w:rPr>
          <w:rFonts w:eastAsia="Calibri" w:cstheme="minorHAnsi"/>
        </w:rPr>
        <w:t xml:space="preserve">The application documentation required is the same as required for the Green Offer with one additional document requested to facilitate an eligibility and package sizing assessment. This document is a simple excel table which detail the company’s total revenue, the percentage derived from homebuilding, number of employees and the number of housing units delivered over a seven-year period and a brief housing impact statement. This is two previous years, current year and four future years. </w:t>
      </w:r>
    </w:p>
    <w:p w14:paraId="04E94168" w14:textId="77777777" w:rsidR="003C354E" w:rsidRPr="00912483" w:rsidRDefault="003C354E" w:rsidP="003C354E">
      <w:pPr>
        <w:spacing w:after="0" w:line="276" w:lineRule="auto"/>
        <w:jc w:val="both"/>
        <w:rPr>
          <w:rFonts w:eastAsia="Calibri" w:cstheme="minorHAnsi"/>
          <w:u w:val="single"/>
        </w:rPr>
      </w:pPr>
    </w:p>
    <w:p w14:paraId="037EDC98" w14:textId="77777777" w:rsidR="003C354E" w:rsidRDefault="003C354E" w:rsidP="003C354E">
      <w:pPr>
        <w:rPr>
          <w:rFonts w:eastAsia="Calibri" w:cstheme="minorHAnsi"/>
          <w:b/>
          <w:bCs/>
          <w:color w:val="000000"/>
        </w:rPr>
      </w:pPr>
      <w:r>
        <w:rPr>
          <w:rFonts w:eastAsia="Calibri" w:cstheme="minorHAnsi"/>
          <w:b/>
          <w:bCs/>
          <w:color w:val="000000"/>
        </w:rPr>
        <w:br w:type="page"/>
      </w:r>
    </w:p>
    <w:p w14:paraId="34E17455" w14:textId="77777777" w:rsidR="003C354E" w:rsidRPr="00912483" w:rsidRDefault="003C354E" w:rsidP="003C354E">
      <w:pPr>
        <w:rPr>
          <w:rFonts w:eastAsia="Calibri" w:cstheme="minorHAnsi"/>
          <w:b/>
          <w:bCs/>
          <w:color w:val="000000"/>
        </w:rPr>
      </w:pPr>
      <w:r w:rsidRPr="00912483">
        <w:rPr>
          <w:rFonts w:eastAsia="Calibri" w:cstheme="minorHAnsi"/>
          <w:b/>
          <w:bCs/>
          <w:color w:val="000000"/>
        </w:rPr>
        <w:lastRenderedPageBreak/>
        <w:t>3.2 Application Process</w:t>
      </w:r>
    </w:p>
    <w:p w14:paraId="4838B4CC" w14:textId="77777777" w:rsidR="003C354E" w:rsidRPr="00912483" w:rsidRDefault="003C354E" w:rsidP="003C354E">
      <w:pPr>
        <w:spacing w:after="0"/>
        <w:ind w:left="360"/>
        <w:jc w:val="both"/>
        <w:rPr>
          <w:rFonts w:eastAsia="Calibri" w:cstheme="minorHAnsi"/>
          <w:b/>
          <w:bCs/>
        </w:rPr>
      </w:pPr>
    </w:p>
    <w:tbl>
      <w:tblPr>
        <w:tblStyle w:val="TableGrid10"/>
        <w:tblW w:w="8631" w:type="dxa"/>
        <w:tblInd w:w="421" w:type="dxa"/>
        <w:tblCellMar>
          <w:left w:w="0" w:type="dxa"/>
          <w:right w:w="0" w:type="dxa"/>
        </w:tblCellMar>
        <w:tblLook w:val="04A0" w:firstRow="1" w:lastRow="0" w:firstColumn="1" w:lastColumn="0" w:noHBand="0" w:noVBand="1"/>
      </w:tblPr>
      <w:tblGrid>
        <w:gridCol w:w="1288"/>
        <w:gridCol w:w="7343"/>
      </w:tblGrid>
      <w:tr w:rsidR="003C354E" w:rsidRPr="00912483" w14:paraId="1243E12E" w14:textId="77777777" w:rsidTr="00B53BE6">
        <w:trPr>
          <w:trHeight w:val="20"/>
        </w:trPr>
        <w:tc>
          <w:tcPr>
            <w:tcW w:w="1134" w:type="dxa"/>
            <w:shd w:val="clear" w:color="auto" w:fill="CFD5EA"/>
          </w:tcPr>
          <w:p w14:paraId="427CE0BC" w14:textId="77777777" w:rsidR="003C354E" w:rsidRPr="00912483" w:rsidRDefault="003C354E" w:rsidP="00B53BE6">
            <w:pPr>
              <w:jc w:val="both"/>
              <w:rPr>
                <w:rFonts w:asciiTheme="minorHAnsi" w:hAnsiTheme="minorHAnsi" w:cstheme="minorHAnsi"/>
                <w:b/>
                <w:bCs/>
                <w:sz w:val="24"/>
                <w:szCs w:val="24"/>
                <w:lang w:eastAsia="en-IE"/>
              </w:rPr>
            </w:pPr>
            <w:r w:rsidRPr="00912483">
              <w:rPr>
                <w:rFonts w:asciiTheme="minorHAnsi" w:hAnsiTheme="minorHAnsi" w:cstheme="minorHAnsi"/>
                <w:b/>
                <w:bCs/>
                <w:sz w:val="24"/>
                <w:szCs w:val="24"/>
                <w:lang w:eastAsia="en-IE"/>
              </w:rPr>
              <w:t>Inquiries</w:t>
            </w:r>
          </w:p>
        </w:tc>
        <w:tc>
          <w:tcPr>
            <w:tcW w:w="7497" w:type="dxa"/>
            <w:shd w:val="clear" w:color="auto" w:fill="E9EBF5"/>
          </w:tcPr>
          <w:p w14:paraId="4BC651FB" w14:textId="77777777" w:rsidR="003C354E" w:rsidRPr="00912483" w:rsidRDefault="003C354E" w:rsidP="003C354E">
            <w:pPr>
              <w:numPr>
                <w:ilvl w:val="0"/>
                <w:numId w:val="26"/>
              </w:numPr>
              <w:ind w:left="227" w:hanging="227"/>
              <w:contextualSpacing/>
              <w:jc w:val="both"/>
              <w:rPr>
                <w:rFonts w:asciiTheme="minorHAnsi" w:hAnsiTheme="minorHAnsi" w:cstheme="minorHAnsi"/>
                <w:sz w:val="24"/>
                <w:szCs w:val="24"/>
                <w:lang w:eastAsia="en-IE"/>
              </w:rPr>
            </w:pPr>
            <w:r w:rsidRPr="00912483">
              <w:rPr>
                <w:rFonts w:asciiTheme="minorHAnsi" w:hAnsiTheme="minorHAnsi" w:cstheme="minorHAnsi"/>
                <w:sz w:val="24"/>
                <w:szCs w:val="24"/>
                <w:lang w:eastAsia="en-IE"/>
              </w:rPr>
              <w:t>In bound inquiries to the Enterprise Ireland webpage on these supports will direct people to contact an email address for further information. The Enterprise Ireland Housing team will engage with the potential applicant to initiate the assessment of eligibility.</w:t>
            </w:r>
          </w:p>
        </w:tc>
      </w:tr>
      <w:tr w:rsidR="003C354E" w:rsidRPr="00912483" w14:paraId="0700D9FA" w14:textId="77777777" w:rsidTr="00B53BE6">
        <w:trPr>
          <w:trHeight w:val="20"/>
        </w:trPr>
        <w:tc>
          <w:tcPr>
            <w:tcW w:w="1134" w:type="dxa"/>
            <w:shd w:val="clear" w:color="auto" w:fill="CFD5EA"/>
          </w:tcPr>
          <w:p w14:paraId="512250C4" w14:textId="77777777" w:rsidR="003C354E" w:rsidRPr="00912483" w:rsidRDefault="003C354E" w:rsidP="00B53BE6">
            <w:pPr>
              <w:jc w:val="both"/>
              <w:rPr>
                <w:rFonts w:asciiTheme="minorHAnsi" w:hAnsiTheme="minorHAnsi" w:cstheme="minorHAnsi"/>
                <w:sz w:val="24"/>
                <w:szCs w:val="24"/>
              </w:rPr>
            </w:pPr>
            <w:r w:rsidRPr="00912483">
              <w:rPr>
                <w:rFonts w:asciiTheme="minorHAnsi" w:hAnsiTheme="minorHAnsi" w:cstheme="minorHAnsi"/>
                <w:b/>
                <w:bCs/>
                <w:sz w:val="24"/>
                <w:szCs w:val="24"/>
                <w:lang w:eastAsia="en-IE"/>
              </w:rPr>
              <w:t>Assessment of Eligibility:</w:t>
            </w:r>
          </w:p>
        </w:tc>
        <w:tc>
          <w:tcPr>
            <w:tcW w:w="7497" w:type="dxa"/>
            <w:shd w:val="clear" w:color="auto" w:fill="E9EBF5"/>
          </w:tcPr>
          <w:p w14:paraId="2C814BBE" w14:textId="77777777" w:rsidR="003C354E" w:rsidRPr="00912483" w:rsidRDefault="003C354E" w:rsidP="003C354E">
            <w:pPr>
              <w:numPr>
                <w:ilvl w:val="0"/>
                <w:numId w:val="26"/>
              </w:numPr>
              <w:ind w:left="227" w:hanging="227"/>
              <w:contextualSpacing/>
              <w:jc w:val="both"/>
              <w:rPr>
                <w:rFonts w:asciiTheme="minorHAnsi" w:hAnsiTheme="minorHAnsi" w:cstheme="minorHAnsi"/>
                <w:b/>
                <w:bCs/>
                <w:sz w:val="24"/>
                <w:szCs w:val="24"/>
                <w:lang w:eastAsia="en-IE"/>
              </w:rPr>
            </w:pPr>
            <w:r w:rsidRPr="00912483">
              <w:rPr>
                <w:rFonts w:asciiTheme="minorHAnsi" w:hAnsiTheme="minorHAnsi" w:cstheme="minorHAnsi"/>
                <w:b/>
                <w:bCs/>
                <w:sz w:val="24"/>
                <w:szCs w:val="24"/>
                <w:lang w:eastAsia="en-IE"/>
              </w:rPr>
              <w:t xml:space="preserve">Step 1: </w:t>
            </w:r>
            <w:r w:rsidRPr="00912483">
              <w:rPr>
                <w:rFonts w:asciiTheme="minorHAnsi" w:hAnsiTheme="minorHAnsi" w:cstheme="minorHAnsi"/>
                <w:sz w:val="24"/>
                <w:szCs w:val="24"/>
                <w:lang w:eastAsia="en-IE"/>
              </w:rPr>
              <w:t xml:space="preserve">Applicants will complete a Housing Impacts Statement, setting out the following: </w:t>
            </w:r>
          </w:p>
          <w:p w14:paraId="77437802" w14:textId="77777777" w:rsidR="003C354E" w:rsidRPr="00912483" w:rsidRDefault="003C354E" w:rsidP="003C354E">
            <w:pPr>
              <w:numPr>
                <w:ilvl w:val="0"/>
                <w:numId w:val="26"/>
              </w:numPr>
              <w:ind w:left="454" w:hanging="227"/>
              <w:contextualSpacing/>
              <w:jc w:val="both"/>
              <w:rPr>
                <w:rFonts w:asciiTheme="minorHAnsi" w:hAnsiTheme="minorHAnsi" w:cstheme="minorHAnsi"/>
                <w:sz w:val="24"/>
                <w:szCs w:val="24"/>
                <w:lang w:eastAsia="en-IE"/>
              </w:rPr>
            </w:pPr>
            <w:r w:rsidRPr="00912483">
              <w:rPr>
                <w:rFonts w:asciiTheme="minorHAnsi" w:hAnsiTheme="minorHAnsi" w:cstheme="minorHAnsi"/>
                <w:sz w:val="24"/>
                <w:szCs w:val="24"/>
                <w:lang w:eastAsia="en-IE"/>
              </w:rPr>
              <w:t>table of current and projected residential and other activities,</w:t>
            </w:r>
          </w:p>
          <w:p w14:paraId="725FE992" w14:textId="77777777" w:rsidR="003C354E" w:rsidRPr="00912483" w:rsidRDefault="003C354E" w:rsidP="003C354E">
            <w:pPr>
              <w:numPr>
                <w:ilvl w:val="0"/>
                <w:numId w:val="26"/>
              </w:numPr>
              <w:ind w:left="454" w:hanging="227"/>
              <w:contextualSpacing/>
              <w:jc w:val="both"/>
              <w:rPr>
                <w:rFonts w:asciiTheme="minorHAnsi" w:hAnsiTheme="minorHAnsi" w:cstheme="minorHAnsi"/>
                <w:sz w:val="24"/>
                <w:szCs w:val="24"/>
                <w:lang w:eastAsia="en-IE"/>
              </w:rPr>
            </w:pPr>
            <w:r w:rsidRPr="00912483">
              <w:rPr>
                <w:rFonts w:asciiTheme="minorHAnsi" w:hAnsiTheme="minorHAnsi" w:cstheme="minorHAnsi"/>
                <w:sz w:val="24"/>
                <w:szCs w:val="24"/>
                <w:lang w:eastAsia="en-IE"/>
              </w:rPr>
              <w:t xml:space="preserve">statement of housing impacts arising from the proposed project. </w:t>
            </w:r>
          </w:p>
          <w:p w14:paraId="64908830" w14:textId="77777777" w:rsidR="003C354E" w:rsidRPr="00912483" w:rsidRDefault="003C354E" w:rsidP="00B53BE6">
            <w:pPr>
              <w:ind w:left="1080"/>
              <w:contextualSpacing/>
              <w:jc w:val="both"/>
              <w:rPr>
                <w:rFonts w:asciiTheme="minorHAnsi" w:hAnsiTheme="minorHAnsi" w:cstheme="minorHAnsi"/>
                <w:sz w:val="24"/>
                <w:szCs w:val="24"/>
                <w:lang w:eastAsia="en-IE"/>
              </w:rPr>
            </w:pPr>
          </w:p>
          <w:p w14:paraId="17C586E9" w14:textId="77777777" w:rsidR="003C354E" w:rsidRPr="00912483" w:rsidRDefault="003C354E" w:rsidP="003C354E">
            <w:pPr>
              <w:numPr>
                <w:ilvl w:val="0"/>
                <w:numId w:val="26"/>
              </w:numPr>
              <w:ind w:left="227" w:hanging="227"/>
              <w:contextualSpacing/>
              <w:jc w:val="both"/>
              <w:rPr>
                <w:rFonts w:asciiTheme="minorHAnsi" w:hAnsiTheme="minorHAnsi" w:cstheme="minorHAnsi"/>
                <w:sz w:val="24"/>
                <w:szCs w:val="24"/>
                <w:lang w:eastAsia="en-IE"/>
              </w:rPr>
            </w:pPr>
            <w:r w:rsidRPr="00912483">
              <w:rPr>
                <w:rFonts w:asciiTheme="minorHAnsi" w:hAnsiTheme="minorHAnsi" w:cstheme="minorHAnsi"/>
                <w:b/>
                <w:bCs/>
                <w:sz w:val="24"/>
                <w:szCs w:val="24"/>
                <w:lang w:eastAsia="en-IE"/>
              </w:rPr>
              <w:t xml:space="preserve">Step 2: </w:t>
            </w:r>
            <w:r w:rsidRPr="00912483">
              <w:rPr>
                <w:rFonts w:asciiTheme="minorHAnsi" w:hAnsiTheme="minorHAnsi" w:cstheme="minorHAnsi"/>
                <w:sz w:val="24"/>
                <w:szCs w:val="24"/>
                <w:lang w:eastAsia="en-IE"/>
              </w:rPr>
              <w:t>The Housing Impacts Statement will be assessed to determine project eligibility and maximum grant per job.</w:t>
            </w:r>
          </w:p>
          <w:p w14:paraId="0FD55A96" w14:textId="77777777" w:rsidR="003C354E" w:rsidRPr="00912483" w:rsidRDefault="003C354E" w:rsidP="00B53BE6">
            <w:pPr>
              <w:jc w:val="both"/>
              <w:rPr>
                <w:rFonts w:asciiTheme="minorHAnsi" w:hAnsiTheme="minorHAnsi" w:cstheme="minorHAnsi"/>
                <w:b/>
                <w:bCs/>
                <w:sz w:val="24"/>
                <w:szCs w:val="24"/>
                <w:lang w:eastAsia="en-IE"/>
              </w:rPr>
            </w:pPr>
          </w:p>
        </w:tc>
      </w:tr>
      <w:tr w:rsidR="003C354E" w:rsidRPr="00912483" w14:paraId="10408516" w14:textId="77777777" w:rsidTr="00B53BE6">
        <w:trPr>
          <w:trHeight w:val="20"/>
        </w:trPr>
        <w:tc>
          <w:tcPr>
            <w:tcW w:w="1134" w:type="dxa"/>
            <w:shd w:val="clear" w:color="auto" w:fill="CFD5EA"/>
          </w:tcPr>
          <w:p w14:paraId="46B7091D" w14:textId="77777777" w:rsidR="003C354E" w:rsidRPr="00912483" w:rsidRDefault="003C354E" w:rsidP="00B53BE6">
            <w:pPr>
              <w:jc w:val="both"/>
              <w:rPr>
                <w:rFonts w:asciiTheme="minorHAnsi" w:hAnsiTheme="minorHAnsi" w:cstheme="minorHAnsi"/>
                <w:b/>
                <w:bCs/>
                <w:sz w:val="24"/>
                <w:szCs w:val="24"/>
                <w:lang w:eastAsia="en-IE"/>
              </w:rPr>
            </w:pPr>
            <w:r w:rsidRPr="00912483">
              <w:rPr>
                <w:rFonts w:asciiTheme="minorHAnsi" w:hAnsiTheme="minorHAnsi" w:cstheme="minorHAnsi"/>
                <w:b/>
                <w:bCs/>
                <w:sz w:val="24"/>
                <w:szCs w:val="24"/>
                <w:lang w:eastAsia="en-IE"/>
              </w:rPr>
              <w:t>Client Registration:</w:t>
            </w:r>
          </w:p>
          <w:p w14:paraId="76E56756" w14:textId="77777777" w:rsidR="003C354E" w:rsidRPr="00912483" w:rsidRDefault="003C354E" w:rsidP="00B53BE6">
            <w:pPr>
              <w:jc w:val="both"/>
              <w:rPr>
                <w:rFonts w:asciiTheme="minorHAnsi" w:hAnsiTheme="minorHAnsi" w:cstheme="minorHAnsi"/>
                <w:sz w:val="24"/>
                <w:szCs w:val="24"/>
              </w:rPr>
            </w:pPr>
          </w:p>
        </w:tc>
        <w:tc>
          <w:tcPr>
            <w:tcW w:w="7497" w:type="dxa"/>
            <w:shd w:val="clear" w:color="auto" w:fill="E9EBF5"/>
          </w:tcPr>
          <w:p w14:paraId="59BA4B39" w14:textId="77777777" w:rsidR="003C354E" w:rsidRPr="00912483" w:rsidRDefault="003C354E" w:rsidP="003C354E">
            <w:pPr>
              <w:numPr>
                <w:ilvl w:val="0"/>
                <w:numId w:val="25"/>
              </w:numPr>
              <w:ind w:left="227" w:hanging="227"/>
              <w:contextualSpacing/>
              <w:jc w:val="both"/>
              <w:rPr>
                <w:rFonts w:asciiTheme="minorHAnsi" w:hAnsiTheme="minorHAnsi" w:cstheme="minorHAnsi"/>
                <w:sz w:val="24"/>
                <w:szCs w:val="24"/>
                <w:lang w:eastAsia="en-IE"/>
              </w:rPr>
            </w:pPr>
            <w:r w:rsidRPr="00912483">
              <w:rPr>
                <w:rFonts w:asciiTheme="minorHAnsi" w:hAnsiTheme="minorHAnsi" w:cstheme="minorHAnsi"/>
                <w:sz w:val="24"/>
                <w:szCs w:val="24"/>
                <w:lang w:eastAsia="en-IE"/>
              </w:rPr>
              <w:t>Non-EI clients will be registered as temporary clients on the CES.</w:t>
            </w:r>
          </w:p>
          <w:p w14:paraId="5AE4A2A5" w14:textId="77777777" w:rsidR="003C354E" w:rsidRPr="00912483" w:rsidRDefault="003C354E" w:rsidP="00B53BE6">
            <w:pPr>
              <w:jc w:val="both"/>
              <w:rPr>
                <w:rFonts w:asciiTheme="minorHAnsi" w:hAnsiTheme="minorHAnsi" w:cstheme="minorHAnsi"/>
                <w:sz w:val="24"/>
                <w:szCs w:val="24"/>
              </w:rPr>
            </w:pPr>
          </w:p>
        </w:tc>
      </w:tr>
      <w:tr w:rsidR="003C354E" w:rsidRPr="00912483" w14:paraId="3B7F0AD0" w14:textId="77777777" w:rsidTr="00B53BE6">
        <w:trPr>
          <w:trHeight w:val="20"/>
        </w:trPr>
        <w:tc>
          <w:tcPr>
            <w:tcW w:w="1134" w:type="dxa"/>
            <w:shd w:val="clear" w:color="auto" w:fill="CFD5EA"/>
          </w:tcPr>
          <w:p w14:paraId="163E5B1C" w14:textId="77777777" w:rsidR="003C354E" w:rsidRPr="00912483" w:rsidRDefault="003C354E" w:rsidP="00B53BE6">
            <w:pPr>
              <w:jc w:val="both"/>
              <w:rPr>
                <w:rFonts w:asciiTheme="minorHAnsi" w:hAnsiTheme="minorHAnsi" w:cstheme="minorHAnsi"/>
                <w:sz w:val="24"/>
                <w:szCs w:val="24"/>
              </w:rPr>
            </w:pPr>
            <w:r w:rsidRPr="00912483">
              <w:rPr>
                <w:rFonts w:asciiTheme="minorHAnsi" w:hAnsiTheme="minorHAnsi" w:cstheme="minorHAnsi"/>
                <w:b/>
                <w:bCs/>
                <w:sz w:val="24"/>
                <w:szCs w:val="24"/>
                <w:lang w:eastAsia="en-IE"/>
              </w:rPr>
              <w:t>Application Process:</w:t>
            </w:r>
          </w:p>
        </w:tc>
        <w:tc>
          <w:tcPr>
            <w:tcW w:w="7497" w:type="dxa"/>
            <w:shd w:val="clear" w:color="auto" w:fill="E9EBF5"/>
          </w:tcPr>
          <w:p w14:paraId="713A0AE6" w14:textId="77777777" w:rsidR="003C354E" w:rsidRPr="00912483" w:rsidRDefault="003C354E" w:rsidP="003C354E">
            <w:pPr>
              <w:numPr>
                <w:ilvl w:val="0"/>
                <w:numId w:val="25"/>
              </w:numPr>
              <w:ind w:left="227" w:hanging="227"/>
              <w:contextualSpacing/>
              <w:jc w:val="both"/>
              <w:rPr>
                <w:rFonts w:asciiTheme="minorHAnsi" w:hAnsiTheme="minorHAnsi" w:cstheme="minorHAnsi"/>
                <w:sz w:val="24"/>
                <w:szCs w:val="24"/>
              </w:rPr>
            </w:pPr>
            <w:r w:rsidRPr="00912483">
              <w:rPr>
                <w:rFonts w:asciiTheme="minorHAnsi" w:hAnsiTheme="minorHAnsi" w:cstheme="minorHAnsi"/>
                <w:sz w:val="24"/>
                <w:szCs w:val="24"/>
              </w:rPr>
              <w:t xml:space="preserve">Following assessment of a Housing Impacts Statement, a formal application will be submitted using existing application documents. The current process for the management of these applications will be used. </w:t>
            </w:r>
          </w:p>
          <w:p w14:paraId="5AC10F91" w14:textId="77777777" w:rsidR="003C354E" w:rsidRPr="00912483" w:rsidRDefault="003C354E" w:rsidP="003C354E">
            <w:pPr>
              <w:numPr>
                <w:ilvl w:val="0"/>
                <w:numId w:val="25"/>
              </w:numPr>
              <w:ind w:left="227" w:hanging="227"/>
              <w:contextualSpacing/>
              <w:jc w:val="both"/>
              <w:rPr>
                <w:rFonts w:asciiTheme="minorHAnsi" w:hAnsiTheme="minorHAnsi" w:cstheme="minorHAnsi"/>
                <w:sz w:val="24"/>
                <w:szCs w:val="24"/>
              </w:rPr>
            </w:pPr>
            <w:r w:rsidRPr="00912483">
              <w:rPr>
                <w:rFonts w:asciiTheme="minorHAnsi" w:hAnsiTheme="minorHAnsi" w:cstheme="minorHAnsi"/>
                <w:sz w:val="24"/>
                <w:szCs w:val="24"/>
              </w:rPr>
              <w:t xml:space="preserve">The current commercial and technical due diligence process will be conducted. This will include the project team analysing the nature of the project for the purpose of determining package size. </w:t>
            </w:r>
          </w:p>
        </w:tc>
      </w:tr>
      <w:tr w:rsidR="003C354E" w:rsidRPr="00912483" w14:paraId="30714A1A" w14:textId="77777777" w:rsidTr="00B53BE6">
        <w:trPr>
          <w:trHeight w:val="20"/>
        </w:trPr>
        <w:tc>
          <w:tcPr>
            <w:tcW w:w="1134" w:type="dxa"/>
            <w:shd w:val="clear" w:color="auto" w:fill="CFD5EA"/>
          </w:tcPr>
          <w:p w14:paraId="13CE9EF0" w14:textId="77777777" w:rsidR="003C354E" w:rsidRPr="00912483" w:rsidRDefault="003C354E" w:rsidP="00B53BE6">
            <w:pPr>
              <w:jc w:val="both"/>
              <w:rPr>
                <w:rFonts w:asciiTheme="minorHAnsi" w:hAnsiTheme="minorHAnsi" w:cstheme="minorHAnsi"/>
                <w:sz w:val="24"/>
                <w:szCs w:val="24"/>
              </w:rPr>
            </w:pPr>
            <w:r w:rsidRPr="00912483">
              <w:rPr>
                <w:rFonts w:asciiTheme="minorHAnsi" w:hAnsiTheme="minorHAnsi" w:cstheme="minorHAnsi"/>
                <w:b/>
                <w:bCs/>
                <w:sz w:val="24"/>
                <w:szCs w:val="24"/>
                <w:lang w:eastAsia="en-IE"/>
              </w:rPr>
              <w:t>Approval Process:</w:t>
            </w:r>
          </w:p>
        </w:tc>
        <w:tc>
          <w:tcPr>
            <w:tcW w:w="7497" w:type="dxa"/>
            <w:shd w:val="clear" w:color="auto" w:fill="E9EBF5"/>
          </w:tcPr>
          <w:p w14:paraId="78B41AB3" w14:textId="77777777" w:rsidR="003C354E" w:rsidRPr="00912483" w:rsidRDefault="003C354E" w:rsidP="003C354E">
            <w:pPr>
              <w:numPr>
                <w:ilvl w:val="0"/>
                <w:numId w:val="25"/>
              </w:numPr>
              <w:ind w:left="227" w:hanging="227"/>
              <w:contextualSpacing/>
              <w:jc w:val="both"/>
              <w:rPr>
                <w:rFonts w:asciiTheme="minorHAnsi" w:hAnsiTheme="minorHAnsi" w:cstheme="minorHAnsi"/>
                <w:sz w:val="24"/>
                <w:szCs w:val="24"/>
              </w:rPr>
            </w:pPr>
            <w:r w:rsidRPr="00912483">
              <w:rPr>
                <w:rFonts w:asciiTheme="minorHAnsi" w:hAnsiTheme="minorHAnsi" w:cstheme="minorHAnsi"/>
                <w:sz w:val="24"/>
                <w:szCs w:val="24"/>
                <w:lang w:eastAsia="en-IE"/>
              </w:rPr>
              <w:t>The only change to existing approval processes will be the inclusion of a Housing Impacts Statement in the online or Committee proposal document.</w:t>
            </w:r>
          </w:p>
        </w:tc>
      </w:tr>
      <w:tr w:rsidR="003C354E" w:rsidRPr="00912483" w14:paraId="707B0AEE" w14:textId="77777777" w:rsidTr="00B53BE6">
        <w:trPr>
          <w:trHeight w:val="20"/>
        </w:trPr>
        <w:tc>
          <w:tcPr>
            <w:tcW w:w="1134" w:type="dxa"/>
            <w:shd w:val="clear" w:color="auto" w:fill="CFD5EA"/>
          </w:tcPr>
          <w:p w14:paraId="053491B4" w14:textId="77777777" w:rsidR="003C354E" w:rsidRPr="00912483" w:rsidRDefault="003C354E" w:rsidP="00B53BE6">
            <w:pPr>
              <w:jc w:val="both"/>
              <w:rPr>
                <w:rFonts w:asciiTheme="minorHAnsi" w:hAnsiTheme="minorHAnsi" w:cstheme="minorHAnsi"/>
                <w:b/>
                <w:bCs/>
                <w:sz w:val="24"/>
                <w:szCs w:val="24"/>
                <w:lang w:eastAsia="en-IE"/>
              </w:rPr>
            </w:pPr>
            <w:r w:rsidRPr="00912483">
              <w:rPr>
                <w:rFonts w:asciiTheme="minorHAnsi" w:hAnsiTheme="minorHAnsi" w:cstheme="minorHAnsi"/>
                <w:b/>
                <w:bCs/>
                <w:sz w:val="24"/>
                <w:szCs w:val="24"/>
                <w:lang w:eastAsia="en-IE"/>
              </w:rPr>
              <w:t>Post Approval</w:t>
            </w:r>
          </w:p>
        </w:tc>
        <w:tc>
          <w:tcPr>
            <w:tcW w:w="7497" w:type="dxa"/>
            <w:shd w:val="clear" w:color="auto" w:fill="E9EBF5"/>
          </w:tcPr>
          <w:p w14:paraId="4CC65A17" w14:textId="77777777" w:rsidR="003C354E" w:rsidRPr="00912483" w:rsidRDefault="003C354E" w:rsidP="003C354E">
            <w:pPr>
              <w:numPr>
                <w:ilvl w:val="0"/>
                <w:numId w:val="25"/>
              </w:numPr>
              <w:ind w:left="227" w:hanging="227"/>
              <w:contextualSpacing/>
              <w:jc w:val="both"/>
              <w:rPr>
                <w:rFonts w:asciiTheme="minorHAnsi" w:hAnsiTheme="minorHAnsi" w:cstheme="minorHAnsi"/>
                <w:sz w:val="24"/>
                <w:szCs w:val="24"/>
                <w:lang w:eastAsia="en-IE"/>
              </w:rPr>
            </w:pPr>
            <w:r w:rsidRPr="00912483">
              <w:rPr>
                <w:rFonts w:asciiTheme="minorHAnsi" w:hAnsiTheme="minorHAnsi" w:cstheme="minorHAnsi"/>
                <w:sz w:val="24"/>
                <w:szCs w:val="24"/>
                <w:lang w:eastAsia="en-IE"/>
              </w:rPr>
              <w:t>Projects will be tagged on the CES as Housing for All related by the Housing team (TBC)</w:t>
            </w:r>
          </w:p>
        </w:tc>
      </w:tr>
    </w:tbl>
    <w:p w14:paraId="3B5F3FDA" w14:textId="77777777" w:rsidR="003C354E" w:rsidRPr="00912483" w:rsidRDefault="003C354E" w:rsidP="003C354E">
      <w:pPr>
        <w:spacing w:after="0"/>
        <w:jc w:val="both"/>
        <w:rPr>
          <w:rFonts w:eastAsia="Calibri" w:cstheme="minorHAnsi"/>
          <w:b/>
          <w:bCs/>
        </w:rPr>
      </w:pPr>
    </w:p>
    <w:p w14:paraId="50215D8B" w14:textId="77777777" w:rsidR="003C354E" w:rsidRPr="00912483" w:rsidRDefault="003C354E" w:rsidP="003C354E">
      <w:pPr>
        <w:spacing w:after="0" w:line="276" w:lineRule="auto"/>
        <w:jc w:val="both"/>
        <w:rPr>
          <w:rFonts w:eastAsia="Times New Roman" w:cstheme="minorHAnsi"/>
          <w:bCs/>
        </w:rPr>
      </w:pPr>
      <w:r w:rsidRPr="00912483">
        <w:rPr>
          <w:rFonts w:eastAsia="Times New Roman" w:cstheme="minorHAnsi"/>
          <w:bCs/>
        </w:rPr>
        <w:t xml:space="preserve">Inquiries from ineligible companies or companies with ineligible projects will be adjudicated on by the Department Manager responsible for Housing and recorded by the Housing team. Appeals to these decisions will be directed to the Secretary of the Enterprise Ireland Board. </w:t>
      </w:r>
    </w:p>
    <w:p w14:paraId="2B0E850C" w14:textId="77777777" w:rsidR="003C354E" w:rsidRPr="00912483" w:rsidRDefault="003C354E" w:rsidP="003C354E">
      <w:pPr>
        <w:spacing w:after="0" w:line="276" w:lineRule="auto"/>
        <w:jc w:val="both"/>
        <w:rPr>
          <w:rFonts w:eastAsia="Times New Roman" w:cstheme="minorHAnsi"/>
          <w:bCs/>
        </w:rPr>
      </w:pPr>
    </w:p>
    <w:p w14:paraId="6712F83F" w14:textId="77777777" w:rsidR="003C354E" w:rsidRPr="00912483" w:rsidRDefault="003C354E" w:rsidP="003C354E">
      <w:pPr>
        <w:spacing w:after="0" w:line="276" w:lineRule="auto"/>
        <w:jc w:val="both"/>
        <w:rPr>
          <w:rFonts w:eastAsia="Times New Roman" w:cstheme="minorHAnsi"/>
          <w:bCs/>
        </w:rPr>
      </w:pPr>
    </w:p>
    <w:p w14:paraId="5DCA6F63" w14:textId="77777777" w:rsidR="003C354E" w:rsidRPr="00912483" w:rsidRDefault="003C354E" w:rsidP="003C354E">
      <w:pPr>
        <w:spacing w:line="276" w:lineRule="auto"/>
        <w:rPr>
          <w:rFonts w:eastAsia="Calibri" w:cstheme="minorHAnsi"/>
          <w:b/>
          <w:bCs/>
          <w:color w:val="4472C4"/>
        </w:rPr>
      </w:pPr>
      <w:r w:rsidRPr="00912483">
        <w:rPr>
          <w:rFonts w:eastAsia="Calibri" w:cstheme="minorHAnsi"/>
          <w:b/>
          <w:bCs/>
          <w:color w:val="000000"/>
        </w:rPr>
        <w:t>3.3 Evaluation and Approval Process</w:t>
      </w:r>
    </w:p>
    <w:p w14:paraId="3A201563" w14:textId="77777777" w:rsidR="003C354E" w:rsidRPr="00912483" w:rsidRDefault="003C354E" w:rsidP="003C354E">
      <w:pPr>
        <w:spacing w:after="0" w:line="276" w:lineRule="auto"/>
        <w:jc w:val="both"/>
        <w:rPr>
          <w:rFonts w:eastAsia="Times New Roman" w:cstheme="minorHAnsi"/>
          <w:bCs/>
        </w:rPr>
      </w:pPr>
      <w:r w:rsidRPr="00912483">
        <w:rPr>
          <w:rFonts w:eastAsia="Times New Roman" w:cstheme="minorHAnsi"/>
          <w:bCs/>
        </w:rPr>
        <w:t xml:space="preserve">Applications received will be processed within the current Enterprise Ireland approvals structures for the </w:t>
      </w:r>
      <w:r w:rsidRPr="00912483">
        <w:rPr>
          <w:rFonts w:eastAsia="Times New Roman" w:cstheme="minorHAnsi"/>
          <w:bCs/>
          <w:color w:val="000000"/>
        </w:rPr>
        <w:t xml:space="preserve">Green Offer </w:t>
      </w:r>
      <w:r w:rsidRPr="00912483">
        <w:rPr>
          <w:rFonts w:eastAsia="Times New Roman" w:cstheme="minorHAnsi"/>
          <w:bCs/>
        </w:rPr>
        <w:t xml:space="preserve">with the same grant aid limits being applied. </w:t>
      </w:r>
    </w:p>
    <w:p w14:paraId="7BE14A6E" w14:textId="77777777" w:rsidR="003C354E" w:rsidRPr="00912483" w:rsidRDefault="003C354E" w:rsidP="003C354E">
      <w:pPr>
        <w:spacing w:after="0" w:line="276" w:lineRule="auto"/>
        <w:jc w:val="both"/>
        <w:rPr>
          <w:rFonts w:eastAsia="Calibri" w:cstheme="minorHAnsi"/>
          <w:b/>
          <w:bCs/>
        </w:rPr>
      </w:pPr>
    </w:p>
    <w:p w14:paraId="0CF16B81" w14:textId="77777777" w:rsidR="003C354E" w:rsidRDefault="003C354E" w:rsidP="003C354E">
      <w:pPr>
        <w:rPr>
          <w:rFonts w:eastAsia="Calibri" w:cstheme="minorHAnsi"/>
          <w:b/>
          <w:bCs/>
        </w:rPr>
      </w:pPr>
      <w:r>
        <w:rPr>
          <w:rFonts w:eastAsia="Calibri" w:cstheme="minorHAnsi"/>
          <w:b/>
          <w:bCs/>
        </w:rPr>
        <w:br w:type="page"/>
      </w:r>
    </w:p>
    <w:p w14:paraId="24B5EBFD" w14:textId="77777777" w:rsidR="003C354E" w:rsidRPr="00912483" w:rsidRDefault="003C354E" w:rsidP="003C354E">
      <w:pPr>
        <w:spacing w:after="0" w:line="276" w:lineRule="auto"/>
        <w:jc w:val="both"/>
        <w:rPr>
          <w:rFonts w:eastAsia="Times New Roman" w:cstheme="minorHAnsi"/>
          <w:bCs/>
        </w:rPr>
      </w:pPr>
      <w:r w:rsidRPr="00912483">
        <w:rPr>
          <w:rFonts w:eastAsia="Calibri" w:cstheme="minorHAnsi"/>
          <w:b/>
          <w:bCs/>
        </w:rPr>
        <w:lastRenderedPageBreak/>
        <w:t>Assessment Process</w:t>
      </w:r>
    </w:p>
    <w:p w14:paraId="722AFE42" w14:textId="77777777" w:rsidR="003C354E" w:rsidRPr="00912483" w:rsidRDefault="003C354E" w:rsidP="003C354E">
      <w:pPr>
        <w:spacing w:after="0" w:line="276" w:lineRule="auto"/>
        <w:jc w:val="both"/>
        <w:rPr>
          <w:rFonts w:eastAsia="Calibri" w:cstheme="minorHAnsi"/>
          <w:b/>
          <w:bCs/>
          <w:color w:val="000000"/>
        </w:rPr>
      </w:pPr>
    </w:p>
    <w:p w14:paraId="76691067" w14:textId="77777777" w:rsidR="003C354E" w:rsidRPr="00912483" w:rsidRDefault="003C354E" w:rsidP="003C354E">
      <w:pPr>
        <w:spacing w:after="0" w:line="276" w:lineRule="auto"/>
        <w:jc w:val="both"/>
        <w:rPr>
          <w:rFonts w:eastAsia="Batang" w:cstheme="minorHAnsi"/>
          <w:color w:val="000000"/>
          <w:lang w:eastAsia="ko-KR"/>
        </w:rPr>
      </w:pPr>
      <w:r w:rsidRPr="00912483">
        <w:rPr>
          <w:rFonts w:eastAsia="Batang" w:cstheme="minorHAnsi"/>
          <w:color w:val="000000"/>
          <w:lang w:eastAsia="ko-KR"/>
        </w:rPr>
        <w:t xml:space="preserve">The Value for Money measures of cost per job and Cost Benefit ratio will continue to be relevant. There is no requirement for projects to show exports or export growth and as such an alternate assessment is required to ensure that the objectives of the initiate are being achieved, namely: A </w:t>
      </w:r>
      <w:r>
        <w:rPr>
          <w:rFonts w:eastAsia="Batang" w:cstheme="minorHAnsi"/>
          <w:color w:val="000000"/>
          <w:lang w:eastAsia="ko-KR"/>
        </w:rPr>
        <w:t xml:space="preserve">productivity or innovation </w:t>
      </w:r>
      <w:r w:rsidRPr="00912483">
        <w:rPr>
          <w:rFonts w:eastAsia="Batang" w:cstheme="minorHAnsi"/>
          <w:color w:val="000000"/>
          <w:lang w:eastAsia="ko-KR"/>
        </w:rPr>
        <w:t>project must have a demonstrable impact on homebuilding by accelerating the delivery of new homes and/or reducing the cost of home building.</w:t>
      </w:r>
    </w:p>
    <w:p w14:paraId="37A724F2" w14:textId="77777777" w:rsidR="003C354E" w:rsidRPr="00912483" w:rsidRDefault="003C354E" w:rsidP="003C354E">
      <w:pPr>
        <w:spacing w:after="0" w:line="276" w:lineRule="auto"/>
        <w:jc w:val="both"/>
        <w:rPr>
          <w:rFonts w:eastAsia="Batang" w:cstheme="minorHAnsi"/>
          <w:color w:val="000000"/>
          <w:lang w:eastAsia="ko-KR"/>
        </w:rPr>
      </w:pPr>
    </w:p>
    <w:p w14:paraId="2241368D" w14:textId="42C2FED8" w:rsidR="003C354E" w:rsidRPr="00912483" w:rsidRDefault="003C354E" w:rsidP="003C354E">
      <w:pPr>
        <w:spacing w:line="276" w:lineRule="auto"/>
        <w:rPr>
          <w:rFonts w:eastAsia="Calibri" w:cstheme="minorHAnsi"/>
          <w:b/>
          <w:bCs/>
          <w:color w:val="000000"/>
        </w:rPr>
      </w:pPr>
      <w:r w:rsidRPr="00912483">
        <w:rPr>
          <w:rFonts w:eastAsia="Calibri" w:cstheme="minorHAnsi"/>
          <w:b/>
          <w:bCs/>
          <w:color w:val="000000"/>
        </w:rPr>
        <w:t xml:space="preserve">3.3.1 Assessment Process for </w:t>
      </w:r>
      <w:r w:rsidR="008E285A">
        <w:rPr>
          <w:rFonts w:eastAsia="Calibri" w:cstheme="minorHAnsi"/>
          <w:b/>
          <w:bCs/>
          <w:color w:val="000000"/>
        </w:rPr>
        <w:t xml:space="preserve">the </w:t>
      </w:r>
      <w:r w:rsidR="008E285A" w:rsidRPr="008E285A">
        <w:rPr>
          <w:rFonts w:eastAsia="Calibri" w:cstheme="minorHAnsi"/>
          <w:b/>
          <w:bCs/>
          <w:color w:val="000000"/>
        </w:rPr>
        <w:t xml:space="preserve">Climate Action Voucher </w:t>
      </w:r>
      <w:r w:rsidRPr="00912483">
        <w:rPr>
          <w:rFonts w:eastAsia="Calibri" w:cstheme="minorHAnsi"/>
          <w:b/>
          <w:bCs/>
          <w:color w:val="000000"/>
        </w:rPr>
        <w:t>Green Start</w:t>
      </w:r>
    </w:p>
    <w:p w14:paraId="3AD68282" w14:textId="42148A51" w:rsidR="003C354E" w:rsidRPr="00912483" w:rsidRDefault="003C354E" w:rsidP="003C354E">
      <w:pPr>
        <w:spacing w:after="0" w:line="276" w:lineRule="auto"/>
        <w:jc w:val="both"/>
        <w:rPr>
          <w:rFonts w:eastAsia="Calibri" w:cstheme="minorHAnsi"/>
          <w:color w:val="000000"/>
        </w:rPr>
      </w:pPr>
      <w:r w:rsidRPr="00912483">
        <w:rPr>
          <w:rFonts w:eastAsia="Calibri" w:cstheme="minorHAnsi"/>
          <w:color w:val="000000"/>
        </w:rPr>
        <w:t>In addition to the assessment process established for</w:t>
      </w:r>
      <w:r w:rsidR="00DE564B">
        <w:rPr>
          <w:rFonts w:eastAsia="Calibri" w:cstheme="minorHAnsi"/>
          <w:color w:val="000000"/>
        </w:rPr>
        <w:t xml:space="preserve"> the</w:t>
      </w:r>
      <w:r w:rsidRPr="00912483">
        <w:rPr>
          <w:rFonts w:eastAsia="Calibri" w:cstheme="minorHAnsi"/>
          <w:color w:val="000000"/>
        </w:rPr>
        <w:t xml:space="preserve"> </w:t>
      </w:r>
      <w:r w:rsidR="00DE564B" w:rsidRPr="00DE564B">
        <w:rPr>
          <w:rFonts w:eastAsia="Calibri" w:cstheme="minorHAnsi"/>
          <w:color w:val="000000"/>
        </w:rPr>
        <w:t xml:space="preserve">Climate Action Voucher </w:t>
      </w:r>
      <w:r w:rsidRPr="00912483">
        <w:rPr>
          <w:rFonts w:eastAsia="Calibri" w:cstheme="minorHAnsi"/>
          <w:color w:val="000000"/>
        </w:rPr>
        <w:t xml:space="preserve">Green Start, the </w:t>
      </w:r>
      <w:r>
        <w:rPr>
          <w:rFonts w:eastAsia="Calibri" w:cstheme="minorHAnsi"/>
          <w:color w:val="000000"/>
        </w:rPr>
        <w:t xml:space="preserve">applicant must also be undertaking a productivity or innovation project that satisfies </w:t>
      </w:r>
      <w:r w:rsidRPr="00912483">
        <w:rPr>
          <w:rFonts w:eastAsia="Calibri" w:cstheme="minorHAnsi"/>
          <w:color w:val="000000"/>
        </w:rPr>
        <w:t xml:space="preserve">the assessment process that has been established for Introductory Projects under the </w:t>
      </w:r>
      <w:r w:rsidRPr="00912483">
        <w:rPr>
          <w:rFonts w:eastAsia="Calibri" w:cstheme="minorHAnsi"/>
          <w:i/>
          <w:iCs/>
          <w:color w:val="000000"/>
        </w:rPr>
        <w:t>Housing for All Offer.</w:t>
      </w:r>
      <w:r>
        <w:rPr>
          <w:rFonts w:eastAsia="Calibri" w:cstheme="minorHAnsi"/>
          <w:i/>
          <w:iCs/>
          <w:color w:val="000000"/>
        </w:rPr>
        <w:t xml:space="preserve"> </w:t>
      </w:r>
      <w:r w:rsidRPr="00912483">
        <w:rPr>
          <w:rFonts w:eastAsia="Calibri" w:cstheme="minorHAnsi"/>
          <w:i/>
          <w:iCs/>
          <w:color w:val="000000"/>
        </w:rPr>
        <w:t xml:space="preserve"> </w:t>
      </w:r>
      <w:r w:rsidRPr="00912483">
        <w:rPr>
          <w:rFonts w:eastAsia="Calibri" w:cstheme="minorHAnsi"/>
          <w:color w:val="000000"/>
        </w:rPr>
        <w:t>This is detailed below:</w:t>
      </w:r>
    </w:p>
    <w:p w14:paraId="52599369" w14:textId="77777777" w:rsidR="003C354E" w:rsidRPr="00912483" w:rsidRDefault="003C354E" w:rsidP="003C354E">
      <w:pPr>
        <w:spacing w:after="0" w:line="276" w:lineRule="auto"/>
        <w:jc w:val="both"/>
        <w:rPr>
          <w:rFonts w:eastAsia="Calibri" w:cstheme="minorHAnsi"/>
          <w:color w:val="000000"/>
        </w:rPr>
      </w:pPr>
    </w:p>
    <w:p w14:paraId="51790959" w14:textId="77777777" w:rsidR="003C354E" w:rsidRPr="00912483" w:rsidRDefault="003C354E" w:rsidP="003C354E">
      <w:pPr>
        <w:spacing w:after="0" w:line="276" w:lineRule="auto"/>
        <w:jc w:val="both"/>
        <w:rPr>
          <w:rFonts w:eastAsia="Calibri" w:cstheme="minorHAnsi"/>
          <w:i/>
          <w:iCs/>
          <w:color w:val="000000"/>
        </w:rPr>
      </w:pPr>
      <w:r w:rsidRPr="00912483">
        <w:rPr>
          <w:rFonts w:eastAsia="Calibri" w:cstheme="minorHAnsi"/>
          <w:i/>
          <w:iCs/>
          <w:color w:val="000000"/>
        </w:rPr>
        <w:t>Introductory Projects</w:t>
      </w:r>
    </w:p>
    <w:p w14:paraId="2B686BE2" w14:textId="77777777" w:rsidR="003C354E" w:rsidRPr="00912483" w:rsidRDefault="003C354E" w:rsidP="003C354E">
      <w:pPr>
        <w:numPr>
          <w:ilvl w:val="0"/>
          <w:numId w:val="27"/>
        </w:numPr>
        <w:spacing w:after="0" w:line="276" w:lineRule="auto"/>
        <w:contextualSpacing/>
        <w:jc w:val="both"/>
        <w:rPr>
          <w:rFonts w:eastAsia="Calibri" w:cstheme="minorHAnsi"/>
          <w:color w:val="000000"/>
        </w:rPr>
      </w:pPr>
      <w:r w:rsidRPr="00912483">
        <w:rPr>
          <w:rFonts w:eastAsia="Calibri" w:cstheme="minorHAnsi"/>
          <w:color w:val="000000"/>
        </w:rPr>
        <w:t>Introductory Projects (of €10k grant aid or less) must satisfy the eligibility criteria of number of employees, having 20% of revenue derived from Homebuilding and that the intention of the project will support productivity or efficiency improvements.</w:t>
      </w:r>
    </w:p>
    <w:p w14:paraId="5FFF7AB1" w14:textId="77777777" w:rsidR="003C354E" w:rsidRPr="00912483" w:rsidRDefault="003C354E" w:rsidP="003C354E">
      <w:pPr>
        <w:spacing w:line="276" w:lineRule="auto"/>
        <w:rPr>
          <w:rFonts w:eastAsia="Calibri" w:cstheme="minorHAnsi"/>
          <w:color w:val="000000"/>
        </w:rPr>
      </w:pPr>
    </w:p>
    <w:p w14:paraId="6712BDFA" w14:textId="77777777" w:rsidR="003C354E" w:rsidRPr="00912483" w:rsidRDefault="003C354E" w:rsidP="003C354E">
      <w:pPr>
        <w:spacing w:line="276" w:lineRule="auto"/>
        <w:rPr>
          <w:rFonts w:eastAsia="Calibri" w:cstheme="minorHAnsi"/>
          <w:b/>
          <w:bCs/>
          <w:color w:val="000000"/>
        </w:rPr>
      </w:pPr>
      <w:r w:rsidRPr="00912483">
        <w:rPr>
          <w:rFonts w:eastAsia="Calibri" w:cstheme="minorHAnsi"/>
          <w:b/>
          <w:bCs/>
          <w:color w:val="000000"/>
        </w:rPr>
        <w:t>3.3.2 Assessment Process for Green Plus</w:t>
      </w:r>
    </w:p>
    <w:p w14:paraId="550F0C51" w14:textId="77777777" w:rsidR="003C354E" w:rsidRPr="00912483" w:rsidRDefault="003C354E" w:rsidP="003C354E">
      <w:pPr>
        <w:spacing w:after="0" w:line="276" w:lineRule="auto"/>
        <w:jc w:val="both"/>
        <w:rPr>
          <w:rFonts w:eastAsia="Calibri" w:cstheme="minorHAnsi"/>
          <w:color w:val="000000"/>
        </w:rPr>
      </w:pPr>
      <w:r w:rsidRPr="00912483">
        <w:rPr>
          <w:rFonts w:eastAsia="Calibri" w:cstheme="minorHAnsi"/>
          <w:color w:val="000000"/>
        </w:rPr>
        <w:t>In addition to the assessment process established for the Green Plus Offer, the applica</w:t>
      </w:r>
      <w:r>
        <w:rPr>
          <w:rFonts w:eastAsia="Calibri" w:cstheme="minorHAnsi"/>
          <w:color w:val="000000"/>
        </w:rPr>
        <w:t xml:space="preserve">nt must also be undertaking a productivity or innovation project that satisfies the assessment process </w:t>
      </w:r>
      <w:r w:rsidRPr="00912483">
        <w:rPr>
          <w:rFonts w:eastAsia="Calibri" w:cstheme="minorHAnsi"/>
          <w:color w:val="000000"/>
        </w:rPr>
        <w:t xml:space="preserve">that has been established for Explorative Offerings under the </w:t>
      </w:r>
      <w:r w:rsidRPr="00912483">
        <w:rPr>
          <w:rFonts w:eastAsia="Calibri" w:cstheme="minorHAnsi"/>
          <w:i/>
          <w:iCs/>
          <w:color w:val="000000"/>
        </w:rPr>
        <w:t xml:space="preserve">Housing for All Offer. </w:t>
      </w:r>
      <w:r w:rsidRPr="00912483">
        <w:rPr>
          <w:rFonts w:eastAsia="Calibri" w:cstheme="minorHAnsi"/>
          <w:color w:val="000000"/>
        </w:rPr>
        <w:t>This is detailed below:</w:t>
      </w:r>
    </w:p>
    <w:p w14:paraId="3D5859DD" w14:textId="77777777" w:rsidR="003C354E" w:rsidRPr="00912483" w:rsidRDefault="003C354E" w:rsidP="003C354E">
      <w:pPr>
        <w:spacing w:after="0" w:line="276" w:lineRule="auto"/>
        <w:jc w:val="both"/>
        <w:rPr>
          <w:rFonts w:eastAsia="Calibri" w:cstheme="minorHAnsi"/>
          <w:color w:val="000000"/>
        </w:rPr>
      </w:pPr>
    </w:p>
    <w:p w14:paraId="017C5658" w14:textId="77777777" w:rsidR="003C354E" w:rsidRPr="00912483" w:rsidRDefault="003C354E" w:rsidP="003C354E">
      <w:pPr>
        <w:spacing w:after="0" w:line="276" w:lineRule="auto"/>
        <w:jc w:val="both"/>
        <w:rPr>
          <w:rFonts w:eastAsia="Calibri" w:cstheme="minorHAnsi"/>
          <w:i/>
          <w:iCs/>
          <w:color w:val="000000"/>
        </w:rPr>
      </w:pPr>
      <w:r w:rsidRPr="00912483">
        <w:rPr>
          <w:rFonts w:eastAsia="Calibri" w:cstheme="minorHAnsi"/>
          <w:i/>
          <w:iCs/>
          <w:color w:val="000000"/>
        </w:rPr>
        <w:t>Explorative Offerings</w:t>
      </w:r>
    </w:p>
    <w:p w14:paraId="1A092664" w14:textId="77777777" w:rsidR="003C354E" w:rsidRPr="00912483" w:rsidRDefault="003C354E" w:rsidP="003C354E">
      <w:pPr>
        <w:numPr>
          <w:ilvl w:val="0"/>
          <w:numId w:val="27"/>
        </w:numPr>
        <w:spacing w:line="276" w:lineRule="auto"/>
        <w:contextualSpacing/>
        <w:jc w:val="both"/>
        <w:rPr>
          <w:rFonts w:eastAsia="Calibri" w:cstheme="minorHAnsi"/>
          <w:color w:val="000000"/>
        </w:rPr>
      </w:pPr>
      <w:r w:rsidRPr="00912483">
        <w:rPr>
          <w:rFonts w:eastAsia="Calibri" w:cstheme="minorHAnsi"/>
          <w:color w:val="000000"/>
        </w:rPr>
        <w:t xml:space="preserve">Explorative projects of up to €50k grant aid will require evidence that the project to be undertaken can directly impact on the company’s capability to deliver to the homebuilding industry more productively or generate efficiencies which will reduce cost of construction. </w:t>
      </w:r>
    </w:p>
    <w:p w14:paraId="6C129B8D" w14:textId="77777777" w:rsidR="003C354E" w:rsidRPr="00912483" w:rsidRDefault="003C354E" w:rsidP="003C354E">
      <w:pPr>
        <w:rPr>
          <w:rFonts w:eastAsia="Calibri" w:cstheme="minorHAnsi"/>
        </w:rPr>
      </w:pPr>
    </w:p>
    <w:p w14:paraId="20E651AB" w14:textId="77777777" w:rsidR="003C354E" w:rsidRPr="00912483" w:rsidRDefault="003C354E" w:rsidP="003C354E">
      <w:pPr>
        <w:spacing w:line="276" w:lineRule="auto"/>
        <w:rPr>
          <w:rFonts w:eastAsia="Calibri" w:cstheme="minorHAnsi"/>
          <w:b/>
          <w:bCs/>
          <w:color w:val="000000"/>
        </w:rPr>
      </w:pPr>
      <w:r w:rsidRPr="00912483">
        <w:rPr>
          <w:rFonts w:eastAsia="Calibri" w:cstheme="minorHAnsi"/>
          <w:b/>
          <w:bCs/>
          <w:color w:val="000000"/>
        </w:rPr>
        <w:t>3.</w:t>
      </w:r>
      <w:r>
        <w:rPr>
          <w:rFonts w:eastAsia="Calibri" w:cstheme="minorHAnsi"/>
          <w:b/>
          <w:bCs/>
          <w:color w:val="000000"/>
        </w:rPr>
        <w:t xml:space="preserve">4 </w:t>
      </w:r>
      <w:r w:rsidRPr="00912483">
        <w:rPr>
          <w:rFonts w:eastAsia="Calibri" w:cstheme="minorHAnsi"/>
          <w:b/>
          <w:bCs/>
          <w:color w:val="000000"/>
        </w:rPr>
        <w:t xml:space="preserve">Closing Date for Applicants </w:t>
      </w:r>
    </w:p>
    <w:p w14:paraId="3ED7DC78" w14:textId="77777777" w:rsidR="003C354E" w:rsidRPr="00912483" w:rsidRDefault="003C354E" w:rsidP="003C354E">
      <w:pPr>
        <w:autoSpaceDE w:val="0"/>
        <w:autoSpaceDN w:val="0"/>
        <w:adjustRightInd w:val="0"/>
        <w:spacing w:after="0" w:line="276" w:lineRule="auto"/>
        <w:contextualSpacing/>
        <w:jc w:val="both"/>
        <w:rPr>
          <w:rFonts w:eastAsia="Times New Roman" w:cstheme="minorHAnsi"/>
          <w:i/>
          <w:iCs/>
          <w:lang w:eastAsia="en-GB"/>
        </w:rPr>
      </w:pPr>
      <w:r w:rsidRPr="00912483">
        <w:rPr>
          <w:rFonts w:eastAsia="Calibri" w:cstheme="minorHAnsi"/>
        </w:rPr>
        <w:t xml:space="preserve">This offer will be open to the domestic residential industry from March 2022 until the end of 2024 or until advised by Government. </w:t>
      </w:r>
    </w:p>
    <w:p w14:paraId="7A31CF24" w14:textId="77777777" w:rsidR="003C354E" w:rsidRPr="00912483" w:rsidRDefault="003C354E" w:rsidP="003C354E">
      <w:pPr>
        <w:autoSpaceDE w:val="0"/>
        <w:autoSpaceDN w:val="0"/>
        <w:adjustRightInd w:val="0"/>
        <w:spacing w:after="0" w:line="276" w:lineRule="auto"/>
        <w:contextualSpacing/>
        <w:jc w:val="both"/>
        <w:rPr>
          <w:rFonts w:eastAsia="Times New Roman" w:cstheme="minorHAnsi"/>
          <w:b/>
          <w:bCs/>
          <w:i/>
          <w:iCs/>
          <w:color w:val="000000"/>
          <w:lang w:eastAsia="en-GB"/>
        </w:rPr>
      </w:pPr>
    </w:p>
    <w:p w14:paraId="63E49954" w14:textId="77777777" w:rsidR="003C354E" w:rsidRPr="00912483" w:rsidRDefault="003C354E" w:rsidP="003C354E">
      <w:pPr>
        <w:spacing w:line="276" w:lineRule="auto"/>
        <w:jc w:val="both"/>
        <w:rPr>
          <w:rFonts w:eastAsia="Calibri" w:cstheme="minorHAnsi"/>
          <w:b/>
          <w:bCs/>
          <w:color w:val="000000"/>
        </w:rPr>
      </w:pPr>
      <w:r w:rsidRPr="00912483">
        <w:rPr>
          <w:rFonts w:eastAsia="Calibri" w:cstheme="minorHAnsi"/>
          <w:b/>
          <w:bCs/>
          <w:color w:val="000000"/>
        </w:rPr>
        <w:t>3.</w:t>
      </w:r>
      <w:r>
        <w:rPr>
          <w:rFonts w:eastAsia="Calibri" w:cstheme="minorHAnsi"/>
          <w:b/>
          <w:bCs/>
          <w:color w:val="000000"/>
        </w:rPr>
        <w:t>5</w:t>
      </w:r>
      <w:r w:rsidRPr="00912483">
        <w:rPr>
          <w:rFonts w:eastAsia="Calibri" w:cstheme="minorHAnsi"/>
          <w:b/>
          <w:bCs/>
          <w:color w:val="000000"/>
        </w:rPr>
        <w:t xml:space="preserve"> Post Approval Claims Process</w:t>
      </w:r>
    </w:p>
    <w:p w14:paraId="53DB1217" w14:textId="77777777" w:rsidR="003C354E" w:rsidRPr="00912483" w:rsidRDefault="003C354E" w:rsidP="003C354E">
      <w:pPr>
        <w:spacing w:line="276" w:lineRule="auto"/>
        <w:jc w:val="both"/>
        <w:rPr>
          <w:rFonts w:eastAsia="Calibri" w:cstheme="minorHAnsi"/>
          <w:i/>
          <w:iCs/>
        </w:rPr>
      </w:pPr>
      <w:r w:rsidRPr="00912483">
        <w:rPr>
          <w:rFonts w:eastAsia="Calibri" w:cstheme="minorHAnsi"/>
        </w:rPr>
        <w:t xml:space="preserve">The existing claims process will be used to draw down funding. The Development Advisors in the Housing team will provide claims clearance for the new temporary clients. </w:t>
      </w:r>
    </w:p>
    <w:p w14:paraId="3D919D08" w14:textId="77777777" w:rsidR="003C354E" w:rsidRPr="00DC4BF5" w:rsidRDefault="003C354E" w:rsidP="003C354E">
      <w:pPr>
        <w:contextualSpacing/>
        <w:rPr>
          <w:rFonts w:ascii="Calibri" w:hAnsi="Calibri" w:cs="Calibri"/>
        </w:rPr>
      </w:pPr>
    </w:p>
    <w:sectPr w:rsidR="003C354E" w:rsidRPr="00DC4BF5" w:rsidSect="003E522F">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59C6" w14:textId="77777777" w:rsidR="002E37CA" w:rsidRDefault="002E37CA" w:rsidP="00544113">
      <w:pPr>
        <w:spacing w:after="0" w:line="240" w:lineRule="auto"/>
      </w:pPr>
      <w:r>
        <w:separator/>
      </w:r>
    </w:p>
  </w:endnote>
  <w:endnote w:type="continuationSeparator" w:id="0">
    <w:p w14:paraId="145125C0" w14:textId="77777777" w:rsidR="002E37CA" w:rsidRDefault="002E37CA" w:rsidP="00544113">
      <w:pPr>
        <w:spacing w:after="0" w:line="240" w:lineRule="auto"/>
      </w:pPr>
      <w:r>
        <w:continuationSeparator/>
      </w:r>
    </w:p>
  </w:endnote>
  <w:endnote w:type="continuationNotice" w:id="1">
    <w:p w14:paraId="18A4DEED" w14:textId="77777777" w:rsidR="002E37CA" w:rsidRDefault="002E37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AD6C" w14:textId="77777777" w:rsidR="003D4ABE" w:rsidRDefault="003D4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9652" w14:textId="53F768F2" w:rsidR="003B60F4" w:rsidRDefault="003B60F4">
    <w:pPr>
      <w:pStyle w:val="Footer"/>
      <w:jc w:val="center"/>
      <w:rPr>
        <w:caps/>
        <w:noProof/>
        <w:color w:val="4472C4" w:themeColor="accent1"/>
      </w:rPr>
    </w:pPr>
    <w:r>
      <w:rPr>
        <w:caps/>
        <w:color w:val="4472C4" w:themeColor="accent1"/>
      </w:rPr>
      <w:t xml:space="preserve">Page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3E3DFA">
      <w:rPr>
        <w:caps/>
        <w:noProof/>
        <w:color w:val="4472C4" w:themeColor="accent1"/>
      </w:rPr>
      <w:t>2</w:t>
    </w:r>
    <w:r>
      <w:rPr>
        <w:caps/>
        <w:noProof/>
        <w:color w:val="4472C4" w:themeColor="accent1"/>
      </w:rPr>
      <w:fldChar w:fldCharType="end"/>
    </w:r>
  </w:p>
  <w:p w14:paraId="26409C7A" w14:textId="77777777" w:rsidR="003B60F4" w:rsidRDefault="003B6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24EEF9D" w14:paraId="691A9BF9" w14:textId="77777777" w:rsidTr="124EEF9D">
      <w:tc>
        <w:tcPr>
          <w:tcW w:w="3485" w:type="dxa"/>
        </w:tcPr>
        <w:p w14:paraId="7A7FDF04" w14:textId="2F2B7E79" w:rsidR="124EEF9D" w:rsidRDefault="124EEF9D" w:rsidP="124EEF9D">
          <w:pPr>
            <w:pStyle w:val="Header"/>
            <w:ind w:left="-115"/>
          </w:pPr>
        </w:p>
      </w:tc>
      <w:tc>
        <w:tcPr>
          <w:tcW w:w="3485" w:type="dxa"/>
        </w:tcPr>
        <w:p w14:paraId="18F09446" w14:textId="4EC24739" w:rsidR="124EEF9D" w:rsidRDefault="124EEF9D" w:rsidP="124EEF9D">
          <w:pPr>
            <w:pStyle w:val="Header"/>
            <w:jc w:val="center"/>
          </w:pPr>
        </w:p>
      </w:tc>
      <w:tc>
        <w:tcPr>
          <w:tcW w:w="3485" w:type="dxa"/>
        </w:tcPr>
        <w:p w14:paraId="196CA79F" w14:textId="304F8562" w:rsidR="124EEF9D" w:rsidRDefault="124EEF9D" w:rsidP="124EEF9D">
          <w:pPr>
            <w:pStyle w:val="Header"/>
            <w:ind w:right="-115"/>
            <w:jc w:val="right"/>
          </w:pPr>
        </w:p>
      </w:tc>
    </w:tr>
  </w:tbl>
  <w:p w14:paraId="03038951" w14:textId="5289A595" w:rsidR="124EEF9D" w:rsidRDefault="124EEF9D" w:rsidP="124EE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DB82" w14:textId="77777777" w:rsidR="002E37CA" w:rsidRDefault="002E37CA" w:rsidP="00544113">
      <w:pPr>
        <w:spacing w:after="0" w:line="240" w:lineRule="auto"/>
      </w:pPr>
      <w:r>
        <w:separator/>
      </w:r>
    </w:p>
  </w:footnote>
  <w:footnote w:type="continuationSeparator" w:id="0">
    <w:p w14:paraId="5F153F7C" w14:textId="77777777" w:rsidR="002E37CA" w:rsidRDefault="002E37CA" w:rsidP="00544113">
      <w:pPr>
        <w:spacing w:after="0" w:line="240" w:lineRule="auto"/>
      </w:pPr>
      <w:r>
        <w:continuationSeparator/>
      </w:r>
    </w:p>
  </w:footnote>
  <w:footnote w:type="continuationNotice" w:id="1">
    <w:p w14:paraId="79B490E6" w14:textId="77777777" w:rsidR="002E37CA" w:rsidRDefault="002E37CA">
      <w:pPr>
        <w:spacing w:after="0" w:line="240" w:lineRule="auto"/>
      </w:pPr>
    </w:p>
  </w:footnote>
  <w:footnote w:id="2">
    <w:p w14:paraId="51211122" w14:textId="77777777" w:rsidR="00193640" w:rsidRPr="00EF11DD" w:rsidRDefault="00193640" w:rsidP="00193640">
      <w:pPr>
        <w:pStyle w:val="FootnoteText"/>
        <w:rPr>
          <w:lang w:val="en-GB"/>
        </w:rPr>
      </w:pPr>
      <w:r>
        <w:rPr>
          <w:rStyle w:val="FootnoteReference"/>
        </w:rPr>
        <w:footnoteRef/>
      </w:r>
      <w:r>
        <w:t xml:space="preserve"> </w:t>
      </w:r>
      <w:hyperlink r:id="rId1" w:history="1">
        <w:r>
          <w:rPr>
            <w:rStyle w:val="Hyperlink"/>
          </w:rPr>
          <w:t>gov.ie - Ireland's National Recovery and Resilience Plan 2021 (www.gov.ie)</w:t>
        </w:r>
      </w:hyperlink>
    </w:p>
  </w:footnote>
  <w:footnote w:id="3">
    <w:p w14:paraId="6E9D4DA8" w14:textId="3A130E4A" w:rsidR="00DA6C29" w:rsidRDefault="00DA6C29">
      <w:pPr>
        <w:pStyle w:val="FootnoteText"/>
      </w:pPr>
      <w:r>
        <w:rPr>
          <w:rStyle w:val="FootnoteReference"/>
        </w:rPr>
        <w:footnoteRef/>
      </w:r>
      <w:r>
        <w:t xml:space="preserve"> </w:t>
      </w:r>
      <w:bookmarkStart w:id="2" w:name="_Hlk105497571"/>
      <w:r w:rsidRPr="00DA6C29">
        <w:t>As of March 2022, the domestic traded services companies that operate in the residential sector may be eligible.  See Appendix 1 for further details.</w:t>
      </w:r>
      <w:bookmarkEnd w:id="2"/>
    </w:p>
  </w:footnote>
  <w:footnote w:id="4">
    <w:p w14:paraId="494A6B1B" w14:textId="35C77BDF" w:rsidR="00216BF4" w:rsidRDefault="00216BF4">
      <w:pPr>
        <w:pStyle w:val="FootnoteText"/>
      </w:pPr>
      <w:r>
        <w:rPr>
          <w:rStyle w:val="FootnoteReference"/>
        </w:rPr>
        <w:footnoteRef/>
      </w:r>
      <w:r>
        <w:t xml:space="preserve"> </w:t>
      </w:r>
      <w:r w:rsidRPr="00216BF4">
        <w:t>As of March 2022, the domestic traded services companies that operate in the residential sector may be eligible. See Appendix 1 for further details.</w:t>
      </w:r>
    </w:p>
  </w:footnote>
  <w:footnote w:id="5">
    <w:p w14:paraId="6456D578" w14:textId="6283515F" w:rsidR="00A4208B" w:rsidRDefault="00A4208B">
      <w:pPr>
        <w:pStyle w:val="FootnoteText"/>
        <w:rPr>
          <w:rFonts w:ascii="Calibri" w:hAnsi="Calibri" w:cs="Calibri"/>
        </w:rPr>
      </w:pPr>
      <w:r>
        <w:rPr>
          <w:rStyle w:val="FootnoteReference"/>
        </w:rPr>
        <w:footnoteRef/>
      </w:r>
      <w:r>
        <w:t xml:space="preserve"> </w:t>
      </w:r>
      <w:hyperlink r:id="rId2" w:history="1">
        <w:r w:rsidRPr="00423888">
          <w:rPr>
            <w:rStyle w:val="Hyperlink"/>
            <w:rFonts w:ascii="Calibri" w:hAnsi="Calibri" w:cs="Calibri"/>
            <w:sz w:val="18"/>
            <w:szCs w:val="18"/>
          </w:rPr>
          <w:t>http://ec.europa.eu/competition/state_aid/legislation/block.html</w:t>
        </w:r>
      </w:hyperlink>
    </w:p>
    <w:p w14:paraId="3470419E" w14:textId="77777777" w:rsidR="00A4208B" w:rsidRDefault="00A4208B">
      <w:pPr>
        <w:pStyle w:val="FootnoteText"/>
      </w:pPr>
    </w:p>
  </w:footnote>
  <w:footnote w:id="6">
    <w:p w14:paraId="1D78D50B" w14:textId="77777777" w:rsidR="00A4208B" w:rsidRPr="000F7FC9" w:rsidRDefault="00A4208B" w:rsidP="00A4208B">
      <w:pPr>
        <w:rPr>
          <w:rFonts w:ascii="Calibri" w:hAnsi="Calibri" w:cs="Calibri"/>
        </w:rPr>
      </w:pPr>
      <w:r>
        <w:rPr>
          <w:rStyle w:val="FootnoteReference"/>
        </w:rPr>
        <w:footnoteRef/>
      </w:r>
      <w:r>
        <w:t xml:space="preserve"> </w:t>
      </w:r>
      <w:r w:rsidRPr="00423888">
        <w:rPr>
          <w:rFonts w:ascii="Calibri" w:hAnsi="Calibri" w:cs="Calibri"/>
          <w:sz w:val="18"/>
          <w:szCs w:val="18"/>
        </w:rPr>
        <w:t>The state aid basis for Skillnet training is also Training aid. Therefore if training is already subsidised through Skillnet, and subsequently supported through GreenPlus, then the maximum aid intensity would be breached. Therefore, Skillnet courses can only be supported as part of a GreenPlus programme at an un-subsidised rate.</w:t>
      </w:r>
    </w:p>
    <w:p w14:paraId="11B10440" w14:textId="3F91CD34" w:rsidR="00A4208B" w:rsidRDefault="00A4208B">
      <w:pPr>
        <w:pStyle w:val="FootnoteText"/>
      </w:pPr>
    </w:p>
  </w:footnote>
  <w:footnote w:id="7">
    <w:p w14:paraId="1651EFBF" w14:textId="77777777" w:rsidR="003C354E" w:rsidRPr="00317617" w:rsidRDefault="003C354E" w:rsidP="003C354E">
      <w:pPr>
        <w:pStyle w:val="FootnoteText"/>
        <w:rPr>
          <w:color w:val="FF0000"/>
        </w:rPr>
      </w:pPr>
      <w:r w:rsidRPr="00E414A4">
        <w:rPr>
          <w:rStyle w:val="FootnoteReference"/>
        </w:rPr>
        <w:footnoteRef/>
      </w:r>
      <w:r w:rsidRPr="00E414A4">
        <w:t xml:space="preserve"> </w:t>
      </w:r>
      <w:r w:rsidRPr="00087D06">
        <w:rPr>
          <w:sz w:val="18"/>
          <w:szCs w:val="18"/>
        </w:rPr>
        <w:t>Financial institutions are those included in the Communication from the Commission on the application, from 1 August 2013, of the State aid rules to support measures in favour of banks in the context of the financial crisis (‘Banking Communication’) (OJ C 216, 30.7.2013,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C8E3" w14:textId="77777777" w:rsidR="003D4ABE" w:rsidRDefault="003D4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24EEF9D" w14:paraId="23F7BA82" w14:textId="77777777" w:rsidTr="124EEF9D">
      <w:tc>
        <w:tcPr>
          <w:tcW w:w="3485" w:type="dxa"/>
        </w:tcPr>
        <w:p w14:paraId="3E4A2C1F" w14:textId="22525180" w:rsidR="124EEF9D" w:rsidRDefault="124EEF9D" w:rsidP="124EEF9D">
          <w:pPr>
            <w:pStyle w:val="Header"/>
            <w:ind w:left="-115"/>
          </w:pPr>
        </w:p>
      </w:tc>
      <w:tc>
        <w:tcPr>
          <w:tcW w:w="3485" w:type="dxa"/>
        </w:tcPr>
        <w:p w14:paraId="2F86EE2E" w14:textId="0BA9E97F" w:rsidR="124EEF9D" w:rsidRDefault="124EEF9D" w:rsidP="124EEF9D">
          <w:pPr>
            <w:pStyle w:val="Header"/>
            <w:jc w:val="center"/>
          </w:pPr>
        </w:p>
      </w:tc>
      <w:tc>
        <w:tcPr>
          <w:tcW w:w="3485" w:type="dxa"/>
        </w:tcPr>
        <w:p w14:paraId="1C23044E" w14:textId="46A7CAD7" w:rsidR="124EEF9D" w:rsidRDefault="124EEF9D" w:rsidP="124EEF9D">
          <w:pPr>
            <w:pStyle w:val="Header"/>
            <w:ind w:right="-115"/>
            <w:jc w:val="right"/>
          </w:pPr>
        </w:p>
      </w:tc>
    </w:tr>
  </w:tbl>
  <w:p w14:paraId="2B6FD4EC" w14:textId="04F2B570" w:rsidR="124EEF9D" w:rsidRDefault="124EEF9D" w:rsidP="124EEF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6D02" w14:textId="141DC7AF" w:rsidR="00EE3B44" w:rsidRDefault="005C4E2B" w:rsidP="00996D03">
    <w:pPr>
      <w:pStyle w:val="Header"/>
      <w:tabs>
        <w:tab w:val="clear" w:pos="4513"/>
        <w:tab w:val="left" w:pos="5670"/>
      </w:tabs>
    </w:pPr>
    <w:r w:rsidRPr="00FF4574">
      <w:rPr>
        <w:rFonts w:cstheme="minorHAnsi"/>
        <w:b/>
        <w:bCs/>
        <w:noProof/>
        <w:sz w:val="24"/>
        <w:szCs w:val="24"/>
      </w:rPr>
      <w:drawing>
        <wp:inline distT="0" distB="0" distL="0" distR="0" wp14:anchorId="64B3C588" wp14:editId="2FF46820">
          <wp:extent cx="2524125" cy="811266"/>
          <wp:effectExtent l="0" t="0" r="0" b="8255"/>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585060" cy="830851"/>
                  </a:xfrm>
                  <a:prstGeom prst="rect">
                    <a:avLst/>
                  </a:prstGeom>
                </pic:spPr>
              </pic:pic>
            </a:graphicData>
          </a:graphic>
        </wp:inline>
      </w:drawing>
    </w:r>
    <w:r w:rsidR="00456D68">
      <w:rPr>
        <w:rFonts w:asciiTheme="majorHAnsi" w:hAnsiTheme="majorHAnsi"/>
        <w:b/>
        <w:noProof/>
        <w:color w:val="2F5496" w:themeColor="accent1" w:themeShade="BF"/>
        <w:sz w:val="28"/>
        <w:lang w:val="en-GB" w:eastAsia="en-GB"/>
      </w:rPr>
      <w:t xml:space="preserve">  </w:t>
    </w:r>
    <w:r w:rsidR="007B3F2D">
      <w:rPr>
        <w:noProof/>
      </w:rPr>
      <w:drawing>
        <wp:inline distT="0" distB="0" distL="0" distR="0" wp14:anchorId="52367045" wp14:editId="60004FEC">
          <wp:extent cx="1766722" cy="474345"/>
          <wp:effectExtent l="0" t="0" r="508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677" cy="521855"/>
                  </a:xfrm>
                  <a:prstGeom prst="rect">
                    <a:avLst/>
                  </a:prstGeom>
                  <a:noFill/>
                  <a:ln>
                    <a:noFill/>
                  </a:ln>
                </pic:spPr>
              </pic:pic>
            </a:graphicData>
          </a:graphic>
        </wp:inline>
      </w:drawing>
    </w:r>
    <w:r w:rsidR="00456D68">
      <w:rPr>
        <w:rFonts w:asciiTheme="majorHAnsi" w:hAnsiTheme="majorHAnsi"/>
        <w:b/>
        <w:noProof/>
        <w:color w:val="2F5496" w:themeColor="accent1" w:themeShade="BF"/>
        <w:sz w:val="28"/>
        <w:lang w:val="en-GB" w:eastAsia="en-GB"/>
      </w:rPr>
      <w:t xml:space="preserve">    </w:t>
    </w:r>
    <w:r w:rsidR="00D0643E">
      <w:rPr>
        <w:noProof/>
      </w:rPr>
      <w:drawing>
        <wp:inline distT="0" distB="0" distL="0" distR="0" wp14:anchorId="19235AD3" wp14:editId="46147BE8">
          <wp:extent cx="2066925" cy="878600"/>
          <wp:effectExtent l="0" t="0" r="0" b="0"/>
          <wp:docPr id="1840873888" name="Picture 1840873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083352" cy="885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873"/>
    <w:multiLevelType w:val="hybridMultilevel"/>
    <w:tmpl w:val="2DA0CA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F32DC9"/>
    <w:multiLevelType w:val="hybridMultilevel"/>
    <w:tmpl w:val="FFFFFFFF"/>
    <w:lvl w:ilvl="0" w:tplc="497ED37C">
      <w:start w:val="1"/>
      <w:numFmt w:val="decimal"/>
      <w:lvlText w:val="%1."/>
      <w:lvlJc w:val="left"/>
      <w:pPr>
        <w:ind w:left="720" w:hanging="360"/>
      </w:pPr>
    </w:lvl>
    <w:lvl w:ilvl="1" w:tplc="BF48D9CE">
      <w:start w:val="1"/>
      <w:numFmt w:val="lowerLetter"/>
      <w:lvlText w:val="%2."/>
      <w:lvlJc w:val="left"/>
      <w:pPr>
        <w:ind w:left="1440" w:hanging="360"/>
      </w:pPr>
    </w:lvl>
    <w:lvl w:ilvl="2" w:tplc="6BEA5126">
      <w:start w:val="1"/>
      <w:numFmt w:val="lowerRoman"/>
      <w:lvlText w:val="%3."/>
      <w:lvlJc w:val="right"/>
      <w:pPr>
        <w:ind w:left="2160" w:hanging="180"/>
      </w:pPr>
    </w:lvl>
    <w:lvl w:ilvl="3" w:tplc="7C182578">
      <w:start w:val="1"/>
      <w:numFmt w:val="decimal"/>
      <w:lvlText w:val="%4."/>
      <w:lvlJc w:val="left"/>
      <w:pPr>
        <w:ind w:left="2880" w:hanging="360"/>
      </w:pPr>
    </w:lvl>
    <w:lvl w:ilvl="4" w:tplc="D9A05152">
      <w:start w:val="1"/>
      <w:numFmt w:val="lowerLetter"/>
      <w:lvlText w:val="%5."/>
      <w:lvlJc w:val="left"/>
      <w:pPr>
        <w:ind w:left="3600" w:hanging="360"/>
      </w:pPr>
    </w:lvl>
    <w:lvl w:ilvl="5" w:tplc="1750C4F8">
      <w:start w:val="1"/>
      <w:numFmt w:val="lowerRoman"/>
      <w:lvlText w:val="%6."/>
      <w:lvlJc w:val="right"/>
      <w:pPr>
        <w:ind w:left="4320" w:hanging="180"/>
      </w:pPr>
    </w:lvl>
    <w:lvl w:ilvl="6" w:tplc="DF04419A">
      <w:start w:val="1"/>
      <w:numFmt w:val="decimal"/>
      <w:lvlText w:val="%7."/>
      <w:lvlJc w:val="left"/>
      <w:pPr>
        <w:ind w:left="5040" w:hanging="360"/>
      </w:pPr>
    </w:lvl>
    <w:lvl w:ilvl="7" w:tplc="212CD552">
      <w:start w:val="1"/>
      <w:numFmt w:val="lowerLetter"/>
      <w:lvlText w:val="%8."/>
      <w:lvlJc w:val="left"/>
      <w:pPr>
        <w:ind w:left="5760" w:hanging="360"/>
      </w:pPr>
    </w:lvl>
    <w:lvl w:ilvl="8" w:tplc="2BE08C9C">
      <w:start w:val="1"/>
      <w:numFmt w:val="lowerRoman"/>
      <w:lvlText w:val="%9."/>
      <w:lvlJc w:val="right"/>
      <w:pPr>
        <w:ind w:left="6480" w:hanging="180"/>
      </w:pPr>
    </w:lvl>
  </w:abstractNum>
  <w:abstractNum w:abstractNumId="2" w15:restartNumberingAfterBreak="0">
    <w:nsid w:val="0EBA3842"/>
    <w:multiLevelType w:val="hybridMultilevel"/>
    <w:tmpl w:val="8A9A9E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EF572B9"/>
    <w:multiLevelType w:val="hybridMultilevel"/>
    <w:tmpl w:val="46CEC7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CA3E09"/>
    <w:multiLevelType w:val="hybridMultilevel"/>
    <w:tmpl w:val="5D0023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5A04E60"/>
    <w:multiLevelType w:val="hybridMultilevel"/>
    <w:tmpl w:val="D0A865A2"/>
    <w:lvl w:ilvl="0" w:tplc="87BE021C">
      <w:numFmt w:val="bullet"/>
      <w:lvlText w:val="-"/>
      <w:lvlJc w:val="left"/>
      <w:pPr>
        <w:ind w:left="360" w:hanging="360"/>
      </w:pPr>
      <w:rPr>
        <w:rFonts w:ascii="Calibri" w:eastAsiaTheme="minorHAnsi" w:hAnsi="Calibri" w:cs="Calibri" w:hint="default"/>
      </w:rPr>
    </w:lvl>
    <w:lvl w:ilvl="1" w:tplc="87BE021C">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15D66"/>
    <w:multiLevelType w:val="hybridMultilevel"/>
    <w:tmpl w:val="6FB4C5CA"/>
    <w:lvl w:ilvl="0" w:tplc="FF783156">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BB05640"/>
    <w:multiLevelType w:val="hybridMultilevel"/>
    <w:tmpl w:val="01603408"/>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11D7B67"/>
    <w:multiLevelType w:val="hybridMultilevel"/>
    <w:tmpl w:val="CB82B0B6"/>
    <w:lvl w:ilvl="0" w:tplc="C68A553A">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16C544B"/>
    <w:multiLevelType w:val="multilevel"/>
    <w:tmpl w:val="3752D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92DF5"/>
    <w:multiLevelType w:val="hybridMultilevel"/>
    <w:tmpl w:val="924CD5B8"/>
    <w:lvl w:ilvl="0" w:tplc="9A0C6A9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A2C1C"/>
    <w:multiLevelType w:val="hybridMultilevel"/>
    <w:tmpl w:val="A6C09D90"/>
    <w:lvl w:ilvl="0" w:tplc="1032AC54">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AE5538F"/>
    <w:multiLevelType w:val="multilevel"/>
    <w:tmpl w:val="D368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E703B1"/>
    <w:multiLevelType w:val="hybridMultilevel"/>
    <w:tmpl w:val="B92EB5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1F546B7"/>
    <w:multiLevelType w:val="hybridMultilevel"/>
    <w:tmpl w:val="4238D750"/>
    <w:lvl w:ilvl="0" w:tplc="FFFFFFFF">
      <w:start w:val="3"/>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833A52"/>
    <w:multiLevelType w:val="hybridMultilevel"/>
    <w:tmpl w:val="12E42C58"/>
    <w:lvl w:ilvl="0" w:tplc="ACE8ECF2">
      <w:start w:val="1"/>
      <w:numFmt w:val="bullet"/>
      <w:lvlText w:val="▪"/>
      <w:lvlJc w:val="left"/>
      <w:pPr>
        <w:ind w:left="7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348C32">
      <w:start w:val="1"/>
      <w:numFmt w:val="bullet"/>
      <w:lvlText w:val="o"/>
      <w:lvlJc w:val="left"/>
      <w:pPr>
        <w:ind w:left="1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5C8D2FA">
      <w:start w:val="1"/>
      <w:numFmt w:val="bullet"/>
      <w:lvlText w:val="▪"/>
      <w:lvlJc w:val="left"/>
      <w:pPr>
        <w:ind w:left="21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50CE5C">
      <w:start w:val="1"/>
      <w:numFmt w:val="bullet"/>
      <w:lvlText w:val="•"/>
      <w:lvlJc w:val="left"/>
      <w:pPr>
        <w:ind w:left="28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0FECB3A">
      <w:start w:val="1"/>
      <w:numFmt w:val="bullet"/>
      <w:lvlText w:val="o"/>
      <w:lvlJc w:val="left"/>
      <w:pPr>
        <w:ind w:left="36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9A3CD0">
      <w:start w:val="1"/>
      <w:numFmt w:val="bullet"/>
      <w:lvlText w:val="▪"/>
      <w:lvlJc w:val="left"/>
      <w:pPr>
        <w:ind w:left="43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00CEDE2">
      <w:start w:val="1"/>
      <w:numFmt w:val="bullet"/>
      <w:lvlText w:val="•"/>
      <w:lvlJc w:val="left"/>
      <w:pPr>
        <w:ind w:left="50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14D674">
      <w:start w:val="1"/>
      <w:numFmt w:val="bullet"/>
      <w:lvlText w:val="o"/>
      <w:lvlJc w:val="left"/>
      <w:pPr>
        <w:ind w:left="57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DC8848">
      <w:start w:val="1"/>
      <w:numFmt w:val="bullet"/>
      <w:lvlText w:val="▪"/>
      <w:lvlJc w:val="left"/>
      <w:pPr>
        <w:ind w:left="6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3A7B45"/>
    <w:multiLevelType w:val="hybridMultilevel"/>
    <w:tmpl w:val="FD684970"/>
    <w:lvl w:ilvl="0" w:tplc="A96882B6">
      <w:start w:val="1"/>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D366805"/>
    <w:multiLevelType w:val="multilevel"/>
    <w:tmpl w:val="8C96D0F8"/>
    <w:lvl w:ilvl="0">
      <w:start w:val="1"/>
      <w:numFmt w:val="decimal"/>
      <w:pStyle w:val="NumPa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Point1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2A6762A"/>
    <w:multiLevelType w:val="hybridMultilevel"/>
    <w:tmpl w:val="FFFFFFFF"/>
    <w:lvl w:ilvl="0" w:tplc="18D64758">
      <w:start w:val="1"/>
      <w:numFmt w:val="bullet"/>
      <w:lvlText w:val="-"/>
      <w:lvlJc w:val="left"/>
      <w:pPr>
        <w:ind w:left="720" w:hanging="360"/>
      </w:pPr>
      <w:rPr>
        <w:rFonts w:ascii="Calibri" w:hAnsi="Calibri" w:hint="default"/>
      </w:rPr>
    </w:lvl>
    <w:lvl w:ilvl="1" w:tplc="87D8E0E6">
      <w:start w:val="1"/>
      <w:numFmt w:val="bullet"/>
      <w:lvlText w:val="o"/>
      <w:lvlJc w:val="left"/>
      <w:pPr>
        <w:ind w:left="1440" w:hanging="360"/>
      </w:pPr>
      <w:rPr>
        <w:rFonts w:ascii="Courier New" w:hAnsi="Courier New" w:hint="default"/>
      </w:rPr>
    </w:lvl>
    <w:lvl w:ilvl="2" w:tplc="8B54AC80">
      <w:start w:val="1"/>
      <w:numFmt w:val="bullet"/>
      <w:lvlText w:val=""/>
      <w:lvlJc w:val="left"/>
      <w:pPr>
        <w:ind w:left="2160" w:hanging="360"/>
      </w:pPr>
      <w:rPr>
        <w:rFonts w:ascii="Wingdings" w:hAnsi="Wingdings" w:hint="default"/>
      </w:rPr>
    </w:lvl>
    <w:lvl w:ilvl="3" w:tplc="294E1134">
      <w:start w:val="1"/>
      <w:numFmt w:val="bullet"/>
      <w:lvlText w:val=""/>
      <w:lvlJc w:val="left"/>
      <w:pPr>
        <w:ind w:left="2880" w:hanging="360"/>
      </w:pPr>
      <w:rPr>
        <w:rFonts w:ascii="Symbol" w:hAnsi="Symbol" w:hint="default"/>
      </w:rPr>
    </w:lvl>
    <w:lvl w:ilvl="4" w:tplc="58A422BE">
      <w:start w:val="1"/>
      <w:numFmt w:val="bullet"/>
      <w:lvlText w:val="o"/>
      <w:lvlJc w:val="left"/>
      <w:pPr>
        <w:ind w:left="3600" w:hanging="360"/>
      </w:pPr>
      <w:rPr>
        <w:rFonts w:ascii="Courier New" w:hAnsi="Courier New" w:hint="default"/>
      </w:rPr>
    </w:lvl>
    <w:lvl w:ilvl="5" w:tplc="36D84B02">
      <w:start w:val="1"/>
      <w:numFmt w:val="bullet"/>
      <w:lvlText w:val=""/>
      <w:lvlJc w:val="left"/>
      <w:pPr>
        <w:ind w:left="4320" w:hanging="360"/>
      </w:pPr>
      <w:rPr>
        <w:rFonts w:ascii="Wingdings" w:hAnsi="Wingdings" w:hint="default"/>
      </w:rPr>
    </w:lvl>
    <w:lvl w:ilvl="6" w:tplc="F4B8F762">
      <w:start w:val="1"/>
      <w:numFmt w:val="bullet"/>
      <w:lvlText w:val=""/>
      <w:lvlJc w:val="left"/>
      <w:pPr>
        <w:ind w:left="5040" w:hanging="360"/>
      </w:pPr>
      <w:rPr>
        <w:rFonts w:ascii="Symbol" w:hAnsi="Symbol" w:hint="default"/>
      </w:rPr>
    </w:lvl>
    <w:lvl w:ilvl="7" w:tplc="FFD42AFC">
      <w:start w:val="1"/>
      <w:numFmt w:val="bullet"/>
      <w:lvlText w:val="o"/>
      <w:lvlJc w:val="left"/>
      <w:pPr>
        <w:ind w:left="5760" w:hanging="360"/>
      </w:pPr>
      <w:rPr>
        <w:rFonts w:ascii="Courier New" w:hAnsi="Courier New" w:hint="default"/>
      </w:rPr>
    </w:lvl>
    <w:lvl w:ilvl="8" w:tplc="4CEEBA26">
      <w:start w:val="1"/>
      <w:numFmt w:val="bullet"/>
      <w:lvlText w:val=""/>
      <w:lvlJc w:val="left"/>
      <w:pPr>
        <w:ind w:left="6480" w:hanging="360"/>
      </w:pPr>
      <w:rPr>
        <w:rFonts w:ascii="Wingdings" w:hAnsi="Wingdings" w:hint="default"/>
      </w:rPr>
    </w:lvl>
  </w:abstractNum>
  <w:abstractNum w:abstractNumId="19" w15:restartNumberingAfterBreak="0">
    <w:nsid w:val="54AA3631"/>
    <w:multiLevelType w:val="hybridMultilevel"/>
    <w:tmpl w:val="6F9E8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D4032"/>
    <w:multiLevelType w:val="hybridMultilevel"/>
    <w:tmpl w:val="63ECE42A"/>
    <w:lvl w:ilvl="0" w:tplc="22FC9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95498"/>
    <w:multiLevelType w:val="hybridMultilevel"/>
    <w:tmpl w:val="02C8230A"/>
    <w:lvl w:ilvl="0" w:tplc="18090001">
      <w:start w:val="1"/>
      <w:numFmt w:val="bullet"/>
      <w:lvlText w:val=""/>
      <w:lvlJc w:val="left"/>
      <w:pPr>
        <w:ind w:left="727" w:hanging="360"/>
      </w:pPr>
      <w:rPr>
        <w:rFonts w:ascii="Symbol" w:hAnsi="Symbol" w:hint="default"/>
      </w:rPr>
    </w:lvl>
    <w:lvl w:ilvl="1" w:tplc="18090003" w:tentative="1">
      <w:start w:val="1"/>
      <w:numFmt w:val="bullet"/>
      <w:lvlText w:val="o"/>
      <w:lvlJc w:val="left"/>
      <w:pPr>
        <w:ind w:left="1447" w:hanging="360"/>
      </w:pPr>
      <w:rPr>
        <w:rFonts w:ascii="Courier New" w:hAnsi="Courier New" w:cs="Courier New" w:hint="default"/>
      </w:rPr>
    </w:lvl>
    <w:lvl w:ilvl="2" w:tplc="18090005" w:tentative="1">
      <w:start w:val="1"/>
      <w:numFmt w:val="bullet"/>
      <w:lvlText w:val=""/>
      <w:lvlJc w:val="left"/>
      <w:pPr>
        <w:ind w:left="2167" w:hanging="360"/>
      </w:pPr>
      <w:rPr>
        <w:rFonts w:ascii="Wingdings" w:hAnsi="Wingdings" w:hint="default"/>
      </w:rPr>
    </w:lvl>
    <w:lvl w:ilvl="3" w:tplc="18090001" w:tentative="1">
      <w:start w:val="1"/>
      <w:numFmt w:val="bullet"/>
      <w:lvlText w:val=""/>
      <w:lvlJc w:val="left"/>
      <w:pPr>
        <w:ind w:left="2887" w:hanging="360"/>
      </w:pPr>
      <w:rPr>
        <w:rFonts w:ascii="Symbol" w:hAnsi="Symbol" w:hint="default"/>
      </w:rPr>
    </w:lvl>
    <w:lvl w:ilvl="4" w:tplc="18090003" w:tentative="1">
      <w:start w:val="1"/>
      <w:numFmt w:val="bullet"/>
      <w:lvlText w:val="o"/>
      <w:lvlJc w:val="left"/>
      <w:pPr>
        <w:ind w:left="3607" w:hanging="360"/>
      </w:pPr>
      <w:rPr>
        <w:rFonts w:ascii="Courier New" w:hAnsi="Courier New" w:cs="Courier New" w:hint="default"/>
      </w:rPr>
    </w:lvl>
    <w:lvl w:ilvl="5" w:tplc="18090005" w:tentative="1">
      <w:start w:val="1"/>
      <w:numFmt w:val="bullet"/>
      <w:lvlText w:val=""/>
      <w:lvlJc w:val="left"/>
      <w:pPr>
        <w:ind w:left="4327" w:hanging="360"/>
      </w:pPr>
      <w:rPr>
        <w:rFonts w:ascii="Wingdings" w:hAnsi="Wingdings" w:hint="default"/>
      </w:rPr>
    </w:lvl>
    <w:lvl w:ilvl="6" w:tplc="18090001" w:tentative="1">
      <w:start w:val="1"/>
      <w:numFmt w:val="bullet"/>
      <w:lvlText w:val=""/>
      <w:lvlJc w:val="left"/>
      <w:pPr>
        <w:ind w:left="5047" w:hanging="360"/>
      </w:pPr>
      <w:rPr>
        <w:rFonts w:ascii="Symbol" w:hAnsi="Symbol" w:hint="default"/>
      </w:rPr>
    </w:lvl>
    <w:lvl w:ilvl="7" w:tplc="18090003" w:tentative="1">
      <w:start w:val="1"/>
      <w:numFmt w:val="bullet"/>
      <w:lvlText w:val="o"/>
      <w:lvlJc w:val="left"/>
      <w:pPr>
        <w:ind w:left="5767" w:hanging="360"/>
      </w:pPr>
      <w:rPr>
        <w:rFonts w:ascii="Courier New" w:hAnsi="Courier New" w:cs="Courier New" w:hint="default"/>
      </w:rPr>
    </w:lvl>
    <w:lvl w:ilvl="8" w:tplc="18090005" w:tentative="1">
      <w:start w:val="1"/>
      <w:numFmt w:val="bullet"/>
      <w:lvlText w:val=""/>
      <w:lvlJc w:val="left"/>
      <w:pPr>
        <w:ind w:left="6487" w:hanging="360"/>
      </w:pPr>
      <w:rPr>
        <w:rFonts w:ascii="Wingdings" w:hAnsi="Wingdings" w:hint="default"/>
      </w:rPr>
    </w:lvl>
  </w:abstractNum>
  <w:abstractNum w:abstractNumId="22" w15:restartNumberingAfterBreak="0">
    <w:nsid w:val="62EE1589"/>
    <w:multiLevelType w:val="multilevel"/>
    <w:tmpl w:val="B33211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272A21"/>
    <w:multiLevelType w:val="hybridMultilevel"/>
    <w:tmpl w:val="E7042A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0704A97"/>
    <w:multiLevelType w:val="hybridMultilevel"/>
    <w:tmpl w:val="A4EC5D10"/>
    <w:lvl w:ilvl="0" w:tplc="B72A38D4">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1371D51"/>
    <w:multiLevelType w:val="hybridMultilevel"/>
    <w:tmpl w:val="C1903148"/>
    <w:lvl w:ilvl="0" w:tplc="1668E166">
      <w:start w:val="1"/>
      <w:numFmt w:val="bullet"/>
      <w:lvlText w:val=""/>
      <w:lvlJc w:val="left"/>
      <w:pPr>
        <w:ind w:left="720" w:hanging="360"/>
      </w:pPr>
      <w:rPr>
        <w:rFonts w:ascii="Symbol" w:hAnsi="Symbol" w:hint="default"/>
      </w:rPr>
    </w:lvl>
    <w:lvl w:ilvl="1" w:tplc="A2ECDB8C">
      <w:start w:val="1"/>
      <w:numFmt w:val="bullet"/>
      <w:lvlText w:val="o"/>
      <w:lvlJc w:val="left"/>
      <w:pPr>
        <w:ind w:left="1440" w:hanging="360"/>
      </w:pPr>
      <w:rPr>
        <w:rFonts w:ascii="Courier New" w:hAnsi="Courier New" w:hint="default"/>
      </w:rPr>
    </w:lvl>
    <w:lvl w:ilvl="2" w:tplc="053663FA">
      <w:start w:val="1"/>
      <w:numFmt w:val="bullet"/>
      <w:lvlText w:val=""/>
      <w:lvlJc w:val="left"/>
      <w:pPr>
        <w:ind w:left="2160" w:hanging="360"/>
      </w:pPr>
      <w:rPr>
        <w:rFonts w:ascii="Wingdings" w:hAnsi="Wingdings" w:hint="default"/>
      </w:rPr>
    </w:lvl>
    <w:lvl w:ilvl="3" w:tplc="C70CB6E0">
      <w:start w:val="1"/>
      <w:numFmt w:val="bullet"/>
      <w:lvlText w:val=""/>
      <w:lvlJc w:val="left"/>
      <w:pPr>
        <w:ind w:left="2880" w:hanging="360"/>
      </w:pPr>
      <w:rPr>
        <w:rFonts w:ascii="Symbol" w:hAnsi="Symbol" w:hint="default"/>
      </w:rPr>
    </w:lvl>
    <w:lvl w:ilvl="4" w:tplc="4F725E58">
      <w:start w:val="1"/>
      <w:numFmt w:val="bullet"/>
      <w:lvlText w:val="o"/>
      <w:lvlJc w:val="left"/>
      <w:pPr>
        <w:ind w:left="3600" w:hanging="360"/>
      </w:pPr>
      <w:rPr>
        <w:rFonts w:ascii="Courier New" w:hAnsi="Courier New" w:hint="default"/>
      </w:rPr>
    </w:lvl>
    <w:lvl w:ilvl="5" w:tplc="DD20B2BE">
      <w:start w:val="1"/>
      <w:numFmt w:val="bullet"/>
      <w:lvlText w:val=""/>
      <w:lvlJc w:val="left"/>
      <w:pPr>
        <w:ind w:left="4320" w:hanging="360"/>
      </w:pPr>
      <w:rPr>
        <w:rFonts w:ascii="Wingdings" w:hAnsi="Wingdings" w:hint="default"/>
      </w:rPr>
    </w:lvl>
    <w:lvl w:ilvl="6" w:tplc="98265330">
      <w:start w:val="1"/>
      <w:numFmt w:val="bullet"/>
      <w:lvlText w:val=""/>
      <w:lvlJc w:val="left"/>
      <w:pPr>
        <w:ind w:left="5040" w:hanging="360"/>
      </w:pPr>
      <w:rPr>
        <w:rFonts w:ascii="Symbol" w:hAnsi="Symbol" w:hint="default"/>
      </w:rPr>
    </w:lvl>
    <w:lvl w:ilvl="7" w:tplc="A9C67C1C">
      <w:start w:val="1"/>
      <w:numFmt w:val="bullet"/>
      <w:lvlText w:val="o"/>
      <w:lvlJc w:val="left"/>
      <w:pPr>
        <w:ind w:left="5760" w:hanging="360"/>
      </w:pPr>
      <w:rPr>
        <w:rFonts w:ascii="Courier New" w:hAnsi="Courier New" w:hint="default"/>
      </w:rPr>
    </w:lvl>
    <w:lvl w:ilvl="8" w:tplc="B568086E">
      <w:start w:val="1"/>
      <w:numFmt w:val="bullet"/>
      <w:lvlText w:val=""/>
      <w:lvlJc w:val="left"/>
      <w:pPr>
        <w:ind w:left="6480" w:hanging="360"/>
      </w:pPr>
      <w:rPr>
        <w:rFonts w:ascii="Wingdings" w:hAnsi="Wingdings" w:hint="default"/>
      </w:rPr>
    </w:lvl>
  </w:abstractNum>
  <w:abstractNum w:abstractNumId="26" w15:restartNumberingAfterBreak="0">
    <w:nsid w:val="71BF6A4F"/>
    <w:multiLevelType w:val="multilevel"/>
    <w:tmpl w:val="CDF0ED18"/>
    <w:lvl w:ilvl="0">
      <w:start w:val="1"/>
      <w:numFmt w:val="decimal"/>
      <w:pStyle w:val="Heading1"/>
      <w:lvlText w:val="%1."/>
      <w:lvlJc w:val="left"/>
      <w:pPr>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72D22AF5"/>
    <w:multiLevelType w:val="hybridMultilevel"/>
    <w:tmpl w:val="87A0A5B2"/>
    <w:lvl w:ilvl="0" w:tplc="2ACE6B80">
      <w:start w:val="2"/>
      <w:numFmt w:val="bullet"/>
      <w:lvlText w:val="-"/>
      <w:lvlJc w:val="left"/>
      <w:pPr>
        <w:ind w:left="720" w:hanging="360"/>
      </w:pPr>
      <w:rPr>
        <w:rFonts w:ascii="Verdana" w:eastAsia="Times New Roman" w:hAnsi="Verdan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9BC74A2"/>
    <w:multiLevelType w:val="hybridMultilevel"/>
    <w:tmpl w:val="9830FDAA"/>
    <w:lvl w:ilvl="0" w:tplc="4672F2B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EA95A77"/>
    <w:multiLevelType w:val="hybridMultilevel"/>
    <w:tmpl w:val="9A4CC676"/>
    <w:lvl w:ilvl="0" w:tplc="FF783156">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005815638">
    <w:abstractNumId w:val="25"/>
  </w:num>
  <w:num w:numId="2" w16cid:durableId="52892913">
    <w:abstractNumId w:val="26"/>
  </w:num>
  <w:num w:numId="3" w16cid:durableId="1928805766">
    <w:abstractNumId w:val="5"/>
  </w:num>
  <w:num w:numId="4" w16cid:durableId="44304706">
    <w:abstractNumId w:val="17"/>
  </w:num>
  <w:num w:numId="5" w16cid:durableId="1906260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342681">
    <w:abstractNumId w:val="8"/>
  </w:num>
  <w:num w:numId="7" w16cid:durableId="1839078906">
    <w:abstractNumId w:val="14"/>
  </w:num>
  <w:num w:numId="8" w16cid:durableId="1993869877">
    <w:abstractNumId w:val="16"/>
  </w:num>
  <w:num w:numId="9" w16cid:durableId="923028639">
    <w:abstractNumId w:val="15"/>
  </w:num>
  <w:num w:numId="10" w16cid:durableId="1107311707">
    <w:abstractNumId w:val="21"/>
  </w:num>
  <w:num w:numId="11" w16cid:durableId="1228152358">
    <w:abstractNumId w:val="0"/>
  </w:num>
  <w:num w:numId="12" w16cid:durableId="1030302405">
    <w:abstractNumId w:val="27"/>
  </w:num>
  <w:num w:numId="13" w16cid:durableId="918490901">
    <w:abstractNumId w:val="28"/>
  </w:num>
  <w:num w:numId="14" w16cid:durableId="1657493307">
    <w:abstractNumId w:val="11"/>
  </w:num>
  <w:num w:numId="15" w16cid:durableId="533428066">
    <w:abstractNumId w:val="24"/>
  </w:num>
  <w:num w:numId="16" w16cid:durableId="1361398398">
    <w:abstractNumId w:val="2"/>
  </w:num>
  <w:num w:numId="17" w16cid:durableId="765854349">
    <w:abstractNumId w:val="7"/>
  </w:num>
  <w:num w:numId="18" w16cid:durableId="943072009">
    <w:abstractNumId w:val="23"/>
  </w:num>
  <w:num w:numId="19" w16cid:durableId="1522013030">
    <w:abstractNumId w:val="19"/>
  </w:num>
  <w:num w:numId="20" w16cid:durableId="1437409294">
    <w:abstractNumId w:val="10"/>
  </w:num>
  <w:num w:numId="21" w16cid:durableId="1975406609">
    <w:abstractNumId w:val="18"/>
  </w:num>
  <w:num w:numId="22" w16cid:durableId="1573076612">
    <w:abstractNumId w:val="1"/>
  </w:num>
  <w:num w:numId="23" w16cid:durableId="644773361">
    <w:abstractNumId w:val="13"/>
  </w:num>
  <w:num w:numId="24" w16cid:durableId="925697664">
    <w:abstractNumId w:val="4"/>
  </w:num>
  <w:num w:numId="25" w16cid:durableId="389617096">
    <w:abstractNumId w:val="6"/>
  </w:num>
  <w:num w:numId="26" w16cid:durableId="305938092">
    <w:abstractNumId w:val="29"/>
  </w:num>
  <w:num w:numId="27" w16cid:durableId="115299998">
    <w:abstractNumId w:val="3"/>
  </w:num>
  <w:num w:numId="28" w16cid:durableId="1803962248">
    <w:abstractNumId w:val="20"/>
  </w:num>
  <w:num w:numId="29" w16cid:durableId="1028986491">
    <w:abstractNumId w:val="22"/>
  </w:num>
  <w:num w:numId="30" w16cid:durableId="2069377384">
    <w:abstractNumId w:val="9"/>
  </w:num>
  <w:num w:numId="31" w16cid:durableId="71743921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F7"/>
    <w:rsid w:val="000004EE"/>
    <w:rsid w:val="00000A6A"/>
    <w:rsid w:val="00000B8B"/>
    <w:rsid w:val="00001814"/>
    <w:rsid w:val="00001A3E"/>
    <w:rsid w:val="00002705"/>
    <w:rsid w:val="00003222"/>
    <w:rsid w:val="000049D4"/>
    <w:rsid w:val="00006B4E"/>
    <w:rsid w:val="00006CFE"/>
    <w:rsid w:val="0000709C"/>
    <w:rsid w:val="00010D5D"/>
    <w:rsid w:val="0001112F"/>
    <w:rsid w:val="000122CF"/>
    <w:rsid w:val="000124E9"/>
    <w:rsid w:val="000124EA"/>
    <w:rsid w:val="00012D50"/>
    <w:rsid w:val="0001449A"/>
    <w:rsid w:val="00014EC3"/>
    <w:rsid w:val="00015617"/>
    <w:rsid w:val="000165BE"/>
    <w:rsid w:val="0001727E"/>
    <w:rsid w:val="000215B2"/>
    <w:rsid w:val="00021A52"/>
    <w:rsid w:val="00021E8C"/>
    <w:rsid w:val="00021F06"/>
    <w:rsid w:val="000227C8"/>
    <w:rsid w:val="00025CDF"/>
    <w:rsid w:val="0002639A"/>
    <w:rsid w:val="000270C7"/>
    <w:rsid w:val="00030B0A"/>
    <w:rsid w:val="00030D2F"/>
    <w:rsid w:val="00031EE5"/>
    <w:rsid w:val="0003239D"/>
    <w:rsid w:val="000337B4"/>
    <w:rsid w:val="00033DE9"/>
    <w:rsid w:val="00034272"/>
    <w:rsid w:val="00034510"/>
    <w:rsid w:val="00035653"/>
    <w:rsid w:val="00037EAF"/>
    <w:rsid w:val="00040083"/>
    <w:rsid w:val="000403A4"/>
    <w:rsid w:val="000404C3"/>
    <w:rsid w:val="0004126E"/>
    <w:rsid w:val="00041BEF"/>
    <w:rsid w:val="00041E55"/>
    <w:rsid w:val="000439AC"/>
    <w:rsid w:val="00044D48"/>
    <w:rsid w:val="0004602B"/>
    <w:rsid w:val="00046146"/>
    <w:rsid w:val="000468C7"/>
    <w:rsid w:val="00046F9C"/>
    <w:rsid w:val="00050B1F"/>
    <w:rsid w:val="00051653"/>
    <w:rsid w:val="000525D8"/>
    <w:rsid w:val="00052664"/>
    <w:rsid w:val="00056520"/>
    <w:rsid w:val="00060C49"/>
    <w:rsid w:val="00060CF8"/>
    <w:rsid w:val="000625AD"/>
    <w:rsid w:val="00063137"/>
    <w:rsid w:val="0006322B"/>
    <w:rsid w:val="00063528"/>
    <w:rsid w:val="00063596"/>
    <w:rsid w:val="000635AF"/>
    <w:rsid w:val="00063DC9"/>
    <w:rsid w:val="00067D78"/>
    <w:rsid w:val="0007192E"/>
    <w:rsid w:val="00071B18"/>
    <w:rsid w:val="00071CBE"/>
    <w:rsid w:val="00071FBE"/>
    <w:rsid w:val="00072204"/>
    <w:rsid w:val="00072EDA"/>
    <w:rsid w:val="00072FB5"/>
    <w:rsid w:val="00072FD7"/>
    <w:rsid w:val="00073CE2"/>
    <w:rsid w:val="0007434B"/>
    <w:rsid w:val="000744B6"/>
    <w:rsid w:val="0007482C"/>
    <w:rsid w:val="000754BA"/>
    <w:rsid w:val="00076368"/>
    <w:rsid w:val="00076DBB"/>
    <w:rsid w:val="00077729"/>
    <w:rsid w:val="000818DA"/>
    <w:rsid w:val="000822F4"/>
    <w:rsid w:val="00083060"/>
    <w:rsid w:val="0008326F"/>
    <w:rsid w:val="000834F4"/>
    <w:rsid w:val="000857EF"/>
    <w:rsid w:val="00085D22"/>
    <w:rsid w:val="00090220"/>
    <w:rsid w:val="00090E97"/>
    <w:rsid w:val="0009330E"/>
    <w:rsid w:val="000939A8"/>
    <w:rsid w:val="00095031"/>
    <w:rsid w:val="00096BA9"/>
    <w:rsid w:val="00097EC2"/>
    <w:rsid w:val="000A03FB"/>
    <w:rsid w:val="000A0896"/>
    <w:rsid w:val="000A38CC"/>
    <w:rsid w:val="000A42A5"/>
    <w:rsid w:val="000A4E0F"/>
    <w:rsid w:val="000A63F8"/>
    <w:rsid w:val="000A6CBF"/>
    <w:rsid w:val="000A79C9"/>
    <w:rsid w:val="000B1A47"/>
    <w:rsid w:val="000B253D"/>
    <w:rsid w:val="000B25F0"/>
    <w:rsid w:val="000B277C"/>
    <w:rsid w:val="000B306B"/>
    <w:rsid w:val="000B333D"/>
    <w:rsid w:val="000B4482"/>
    <w:rsid w:val="000B4940"/>
    <w:rsid w:val="000B5ACF"/>
    <w:rsid w:val="000B5DDF"/>
    <w:rsid w:val="000B76D7"/>
    <w:rsid w:val="000C0E4D"/>
    <w:rsid w:val="000C29CA"/>
    <w:rsid w:val="000C4190"/>
    <w:rsid w:val="000C526A"/>
    <w:rsid w:val="000C56E8"/>
    <w:rsid w:val="000C72B9"/>
    <w:rsid w:val="000C755E"/>
    <w:rsid w:val="000C7C46"/>
    <w:rsid w:val="000D0553"/>
    <w:rsid w:val="000D1111"/>
    <w:rsid w:val="000D1C0A"/>
    <w:rsid w:val="000D1F08"/>
    <w:rsid w:val="000D2BEA"/>
    <w:rsid w:val="000D388C"/>
    <w:rsid w:val="000D3C55"/>
    <w:rsid w:val="000D4FB3"/>
    <w:rsid w:val="000D5FF2"/>
    <w:rsid w:val="000D64A8"/>
    <w:rsid w:val="000D723E"/>
    <w:rsid w:val="000E082D"/>
    <w:rsid w:val="000E132D"/>
    <w:rsid w:val="000E177D"/>
    <w:rsid w:val="000E1DB4"/>
    <w:rsid w:val="000E28A4"/>
    <w:rsid w:val="000E3A5A"/>
    <w:rsid w:val="000E3FBA"/>
    <w:rsid w:val="000E4976"/>
    <w:rsid w:val="000E4E57"/>
    <w:rsid w:val="000E545D"/>
    <w:rsid w:val="000E567B"/>
    <w:rsid w:val="000E5969"/>
    <w:rsid w:val="000E59D9"/>
    <w:rsid w:val="000F0501"/>
    <w:rsid w:val="000F09A7"/>
    <w:rsid w:val="000F1844"/>
    <w:rsid w:val="000F23CD"/>
    <w:rsid w:val="000F2E09"/>
    <w:rsid w:val="000F39AE"/>
    <w:rsid w:val="000F4FBF"/>
    <w:rsid w:val="000F512C"/>
    <w:rsid w:val="000F53DD"/>
    <w:rsid w:val="000F5DBC"/>
    <w:rsid w:val="000F61DF"/>
    <w:rsid w:val="000F6E66"/>
    <w:rsid w:val="000F7160"/>
    <w:rsid w:val="000F7377"/>
    <w:rsid w:val="000F7667"/>
    <w:rsid w:val="000F7FC9"/>
    <w:rsid w:val="001001A7"/>
    <w:rsid w:val="00101B34"/>
    <w:rsid w:val="0010278B"/>
    <w:rsid w:val="001045B7"/>
    <w:rsid w:val="001050EF"/>
    <w:rsid w:val="00105633"/>
    <w:rsid w:val="001057A8"/>
    <w:rsid w:val="00112F36"/>
    <w:rsid w:val="001134D1"/>
    <w:rsid w:val="00113C53"/>
    <w:rsid w:val="00114E0F"/>
    <w:rsid w:val="00115497"/>
    <w:rsid w:val="001155A4"/>
    <w:rsid w:val="00116922"/>
    <w:rsid w:val="00116D05"/>
    <w:rsid w:val="00117CBB"/>
    <w:rsid w:val="001209F4"/>
    <w:rsid w:val="00120C34"/>
    <w:rsid w:val="00120D88"/>
    <w:rsid w:val="001230EE"/>
    <w:rsid w:val="00123323"/>
    <w:rsid w:val="00126AC5"/>
    <w:rsid w:val="00126AC6"/>
    <w:rsid w:val="001275F6"/>
    <w:rsid w:val="0013092A"/>
    <w:rsid w:val="00131447"/>
    <w:rsid w:val="00131A55"/>
    <w:rsid w:val="00131F42"/>
    <w:rsid w:val="001355CE"/>
    <w:rsid w:val="00136DB9"/>
    <w:rsid w:val="00137762"/>
    <w:rsid w:val="00141B77"/>
    <w:rsid w:val="00141BF1"/>
    <w:rsid w:val="00142399"/>
    <w:rsid w:val="0014534E"/>
    <w:rsid w:val="00145440"/>
    <w:rsid w:val="00147BEE"/>
    <w:rsid w:val="0015046A"/>
    <w:rsid w:val="00150AF0"/>
    <w:rsid w:val="00151690"/>
    <w:rsid w:val="001518FC"/>
    <w:rsid w:val="00152098"/>
    <w:rsid w:val="00153210"/>
    <w:rsid w:val="00153720"/>
    <w:rsid w:val="001543CA"/>
    <w:rsid w:val="00160CE2"/>
    <w:rsid w:val="001613B1"/>
    <w:rsid w:val="00163A72"/>
    <w:rsid w:val="00164C73"/>
    <w:rsid w:val="00164D13"/>
    <w:rsid w:val="00164EF8"/>
    <w:rsid w:val="0016555F"/>
    <w:rsid w:val="001657E7"/>
    <w:rsid w:val="001709B5"/>
    <w:rsid w:val="001709E0"/>
    <w:rsid w:val="00172881"/>
    <w:rsid w:val="001730B8"/>
    <w:rsid w:val="00173F8D"/>
    <w:rsid w:val="001746C7"/>
    <w:rsid w:val="00174EBB"/>
    <w:rsid w:val="001750A2"/>
    <w:rsid w:val="001762DE"/>
    <w:rsid w:val="0017681E"/>
    <w:rsid w:val="0017742D"/>
    <w:rsid w:val="0017765D"/>
    <w:rsid w:val="00177D06"/>
    <w:rsid w:val="00177D95"/>
    <w:rsid w:val="0018019B"/>
    <w:rsid w:val="001801F4"/>
    <w:rsid w:val="0018070F"/>
    <w:rsid w:val="0018279A"/>
    <w:rsid w:val="00182E88"/>
    <w:rsid w:val="00183387"/>
    <w:rsid w:val="00184185"/>
    <w:rsid w:val="00185B6B"/>
    <w:rsid w:val="00185E69"/>
    <w:rsid w:val="0019097A"/>
    <w:rsid w:val="0019187A"/>
    <w:rsid w:val="00191EF0"/>
    <w:rsid w:val="00192659"/>
    <w:rsid w:val="00192BC6"/>
    <w:rsid w:val="00193640"/>
    <w:rsid w:val="001941E7"/>
    <w:rsid w:val="00194A30"/>
    <w:rsid w:val="00194DE0"/>
    <w:rsid w:val="001A0096"/>
    <w:rsid w:val="001A2ACD"/>
    <w:rsid w:val="001A3481"/>
    <w:rsid w:val="001A3DB0"/>
    <w:rsid w:val="001A4618"/>
    <w:rsid w:val="001A4967"/>
    <w:rsid w:val="001A4E4C"/>
    <w:rsid w:val="001A6347"/>
    <w:rsid w:val="001A65C6"/>
    <w:rsid w:val="001A7B70"/>
    <w:rsid w:val="001B0389"/>
    <w:rsid w:val="001B079F"/>
    <w:rsid w:val="001B0A2C"/>
    <w:rsid w:val="001B15CB"/>
    <w:rsid w:val="001B1A01"/>
    <w:rsid w:val="001B284D"/>
    <w:rsid w:val="001B28E0"/>
    <w:rsid w:val="001B3F75"/>
    <w:rsid w:val="001B4E84"/>
    <w:rsid w:val="001B6831"/>
    <w:rsid w:val="001B6BB8"/>
    <w:rsid w:val="001C07DD"/>
    <w:rsid w:val="001C0AF0"/>
    <w:rsid w:val="001C1770"/>
    <w:rsid w:val="001C2413"/>
    <w:rsid w:val="001C2940"/>
    <w:rsid w:val="001C3210"/>
    <w:rsid w:val="001C5426"/>
    <w:rsid w:val="001C5ACE"/>
    <w:rsid w:val="001C6F76"/>
    <w:rsid w:val="001D0E2D"/>
    <w:rsid w:val="001D2598"/>
    <w:rsid w:val="001D25D9"/>
    <w:rsid w:val="001D343F"/>
    <w:rsid w:val="001D5BAB"/>
    <w:rsid w:val="001D6090"/>
    <w:rsid w:val="001D6173"/>
    <w:rsid w:val="001D6647"/>
    <w:rsid w:val="001D6C32"/>
    <w:rsid w:val="001D6EFC"/>
    <w:rsid w:val="001D7899"/>
    <w:rsid w:val="001D7A83"/>
    <w:rsid w:val="001D7C17"/>
    <w:rsid w:val="001D7C3D"/>
    <w:rsid w:val="001E135F"/>
    <w:rsid w:val="001E1BDD"/>
    <w:rsid w:val="001E23BA"/>
    <w:rsid w:val="001E2595"/>
    <w:rsid w:val="001E2927"/>
    <w:rsid w:val="001E355A"/>
    <w:rsid w:val="001E3631"/>
    <w:rsid w:val="001E5D8A"/>
    <w:rsid w:val="001E6D70"/>
    <w:rsid w:val="001F032A"/>
    <w:rsid w:val="001F0A38"/>
    <w:rsid w:val="001F0A82"/>
    <w:rsid w:val="001F0EA9"/>
    <w:rsid w:val="001F1FF5"/>
    <w:rsid w:val="001F3219"/>
    <w:rsid w:val="001F36E8"/>
    <w:rsid w:val="001F4D9B"/>
    <w:rsid w:val="001F6E19"/>
    <w:rsid w:val="001F720B"/>
    <w:rsid w:val="001F725C"/>
    <w:rsid w:val="002013BF"/>
    <w:rsid w:val="00201F50"/>
    <w:rsid w:val="00203368"/>
    <w:rsid w:val="0020372B"/>
    <w:rsid w:val="0020510A"/>
    <w:rsid w:val="00210288"/>
    <w:rsid w:val="00212080"/>
    <w:rsid w:val="002155C8"/>
    <w:rsid w:val="00215F5A"/>
    <w:rsid w:val="00216BF4"/>
    <w:rsid w:val="00221275"/>
    <w:rsid w:val="00221A78"/>
    <w:rsid w:val="00223DD6"/>
    <w:rsid w:val="002244FC"/>
    <w:rsid w:val="002257E5"/>
    <w:rsid w:val="002261CD"/>
    <w:rsid w:val="00226E5F"/>
    <w:rsid w:val="0022705B"/>
    <w:rsid w:val="00227605"/>
    <w:rsid w:val="002309E6"/>
    <w:rsid w:val="00231B41"/>
    <w:rsid w:val="00234E07"/>
    <w:rsid w:val="00235597"/>
    <w:rsid w:val="0023662C"/>
    <w:rsid w:val="0024090A"/>
    <w:rsid w:val="00241B4E"/>
    <w:rsid w:val="0024210C"/>
    <w:rsid w:val="0024223C"/>
    <w:rsid w:val="002436A8"/>
    <w:rsid w:val="00243980"/>
    <w:rsid w:val="0024456B"/>
    <w:rsid w:val="00244AAB"/>
    <w:rsid w:val="00245595"/>
    <w:rsid w:val="002461D3"/>
    <w:rsid w:val="00247985"/>
    <w:rsid w:val="00253C0A"/>
    <w:rsid w:val="00253FB2"/>
    <w:rsid w:val="0025470C"/>
    <w:rsid w:val="00256A6B"/>
    <w:rsid w:val="00256E4C"/>
    <w:rsid w:val="00257288"/>
    <w:rsid w:val="002618E9"/>
    <w:rsid w:val="00261FD7"/>
    <w:rsid w:val="002647FD"/>
    <w:rsid w:val="0026486D"/>
    <w:rsid w:val="00266551"/>
    <w:rsid w:val="002666D1"/>
    <w:rsid w:val="00266B8D"/>
    <w:rsid w:val="00266CE2"/>
    <w:rsid w:val="00266F4D"/>
    <w:rsid w:val="00266FE8"/>
    <w:rsid w:val="00267879"/>
    <w:rsid w:val="00267D82"/>
    <w:rsid w:val="0027038E"/>
    <w:rsid w:val="002706B1"/>
    <w:rsid w:val="00270FCF"/>
    <w:rsid w:val="00272D04"/>
    <w:rsid w:val="00273D0F"/>
    <w:rsid w:val="00274797"/>
    <w:rsid w:val="00274C55"/>
    <w:rsid w:val="00275A4C"/>
    <w:rsid w:val="002769BC"/>
    <w:rsid w:val="00277BAA"/>
    <w:rsid w:val="00280BD3"/>
    <w:rsid w:val="00282400"/>
    <w:rsid w:val="00282A53"/>
    <w:rsid w:val="0028403F"/>
    <w:rsid w:val="00284DCF"/>
    <w:rsid w:val="00285038"/>
    <w:rsid w:val="00286466"/>
    <w:rsid w:val="00287CF3"/>
    <w:rsid w:val="002907E0"/>
    <w:rsid w:val="00291DF9"/>
    <w:rsid w:val="00292314"/>
    <w:rsid w:val="00292BFB"/>
    <w:rsid w:val="002931FF"/>
    <w:rsid w:val="00295849"/>
    <w:rsid w:val="00295A61"/>
    <w:rsid w:val="00295C83"/>
    <w:rsid w:val="002978F9"/>
    <w:rsid w:val="002A1957"/>
    <w:rsid w:val="002A1D48"/>
    <w:rsid w:val="002A2C67"/>
    <w:rsid w:val="002A3160"/>
    <w:rsid w:val="002A31AD"/>
    <w:rsid w:val="002A6E4E"/>
    <w:rsid w:val="002A77B4"/>
    <w:rsid w:val="002B2D7A"/>
    <w:rsid w:val="002B34BA"/>
    <w:rsid w:val="002B3846"/>
    <w:rsid w:val="002B4205"/>
    <w:rsid w:val="002C0671"/>
    <w:rsid w:val="002C0B44"/>
    <w:rsid w:val="002C1165"/>
    <w:rsid w:val="002C1FCB"/>
    <w:rsid w:val="002C3D1C"/>
    <w:rsid w:val="002C4074"/>
    <w:rsid w:val="002C6E86"/>
    <w:rsid w:val="002C70F7"/>
    <w:rsid w:val="002C7614"/>
    <w:rsid w:val="002C7C5B"/>
    <w:rsid w:val="002D00FC"/>
    <w:rsid w:val="002D314E"/>
    <w:rsid w:val="002D339D"/>
    <w:rsid w:val="002D3D99"/>
    <w:rsid w:val="002D60D4"/>
    <w:rsid w:val="002D6A25"/>
    <w:rsid w:val="002D6ED2"/>
    <w:rsid w:val="002D7012"/>
    <w:rsid w:val="002D7224"/>
    <w:rsid w:val="002D7B62"/>
    <w:rsid w:val="002D7FB7"/>
    <w:rsid w:val="002E1A42"/>
    <w:rsid w:val="002E2C28"/>
    <w:rsid w:val="002E37CA"/>
    <w:rsid w:val="002E3B5C"/>
    <w:rsid w:val="002E3F7C"/>
    <w:rsid w:val="002E5858"/>
    <w:rsid w:val="002E7009"/>
    <w:rsid w:val="002E7E32"/>
    <w:rsid w:val="002F0745"/>
    <w:rsid w:val="002F16C6"/>
    <w:rsid w:val="002F186F"/>
    <w:rsid w:val="002F29DB"/>
    <w:rsid w:val="002F4339"/>
    <w:rsid w:val="002F4911"/>
    <w:rsid w:val="002F4E7F"/>
    <w:rsid w:val="002F63CC"/>
    <w:rsid w:val="003000B1"/>
    <w:rsid w:val="00301D96"/>
    <w:rsid w:val="00302008"/>
    <w:rsid w:val="00302BB1"/>
    <w:rsid w:val="00302C8C"/>
    <w:rsid w:val="00303C6B"/>
    <w:rsid w:val="00303D67"/>
    <w:rsid w:val="00304F4D"/>
    <w:rsid w:val="00307242"/>
    <w:rsid w:val="0031181C"/>
    <w:rsid w:val="003118FD"/>
    <w:rsid w:val="00311F52"/>
    <w:rsid w:val="003120E1"/>
    <w:rsid w:val="00312483"/>
    <w:rsid w:val="003128B6"/>
    <w:rsid w:val="00313053"/>
    <w:rsid w:val="00313C44"/>
    <w:rsid w:val="00314CFE"/>
    <w:rsid w:val="00316CE1"/>
    <w:rsid w:val="00317305"/>
    <w:rsid w:val="003215DD"/>
    <w:rsid w:val="00323051"/>
    <w:rsid w:val="0032311C"/>
    <w:rsid w:val="00323638"/>
    <w:rsid w:val="00327C9A"/>
    <w:rsid w:val="00331744"/>
    <w:rsid w:val="003317D0"/>
    <w:rsid w:val="00332097"/>
    <w:rsid w:val="0033328C"/>
    <w:rsid w:val="00334609"/>
    <w:rsid w:val="00334BD9"/>
    <w:rsid w:val="00335B7B"/>
    <w:rsid w:val="00335C6A"/>
    <w:rsid w:val="00337BB3"/>
    <w:rsid w:val="00341D9E"/>
    <w:rsid w:val="00342486"/>
    <w:rsid w:val="00343610"/>
    <w:rsid w:val="00343635"/>
    <w:rsid w:val="003457CE"/>
    <w:rsid w:val="00346D0C"/>
    <w:rsid w:val="00347264"/>
    <w:rsid w:val="00350B29"/>
    <w:rsid w:val="00350E16"/>
    <w:rsid w:val="0035166B"/>
    <w:rsid w:val="0035188D"/>
    <w:rsid w:val="00351C56"/>
    <w:rsid w:val="00352559"/>
    <w:rsid w:val="00352D9C"/>
    <w:rsid w:val="00353462"/>
    <w:rsid w:val="0035391F"/>
    <w:rsid w:val="00353A58"/>
    <w:rsid w:val="0035554F"/>
    <w:rsid w:val="00355659"/>
    <w:rsid w:val="0035780E"/>
    <w:rsid w:val="00357E10"/>
    <w:rsid w:val="00361AFC"/>
    <w:rsid w:val="00361DC7"/>
    <w:rsid w:val="0036240D"/>
    <w:rsid w:val="00363D38"/>
    <w:rsid w:val="003648B4"/>
    <w:rsid w:val="003659F8"/>
    <w:rsid w:val="00365CA8"/>
    <w:rsid w:val="0036671B"/>
    <w:rsid w:val="00367FE8"/>
    <w:rsid w:val="00372D2C"/>
    <w:rsid w:val="00373940"/>
    <w:rsid w:val="00373D98"/>
    <w:rsid w:val="00373E7C"/>
    <w:rsid w:val="00375111"/>
    <w:rsid w:val="00375886"/>
    <w:rsid w:val="003763E6"/>
    <w:rsid w:val="00376696"/>
    <w:rsid w:val="003773F3"/>
    <w:rsid w:val="00381C30"/>
    <w:rsid w:val="00383065"/>
    <w:rsid w:val="00383414"/>
    <w:rsid w:val="00383C84"/>
    <w:rsid w:val="003853F7"/>
    <w:rsid w:val="00390308"/>
    <w:rsid w:val="003903E4"/>
    <w:rsid w:val="003905FF"/>
    <w:rsid w:val="00390C8D"/>
    <w:rsid w:val="0039146D"/>
    <w:rsid w:val="0039207E"/>
    <w:rsid w:val="00392A68"/>
    <w:rsid w:val="00392AFC"/>
    <w:rsid w:val="003936CA"/>
    <w:rsid w:val="003946F4"/>
    <w:rsid w:val="003957ED"/>
    <w:rsid w:val="00395A90"/>
    <w:rsid w:val="003964DA"/>
    <w:rsid w:val="00396EBF"/>
    <w:rsid w:val="00397DD8"/>
    <w:rsid w:val="003A105C"/>
    <w:rsid w:val="003A17B5"/>
    <w:rsid w:val="003A1BD1"/>
    <w:rsid w:val="003A21DC"/>
    <w:rsid w:val="003A25E7"/>
    <w:rsid w:val="003A2750"/>
    <w:rsid w:val="003A3710"/>
    <w:rsid w:val="003A4D20"/>
    <w:rsid w:val="003A5006"/>
    <w:rsid w:val="003A56B6"/>
    <w:rsid w:val="003A603A"/>
    <w:rsid w:val="003A688F"/>
    <w:rsid w:val="003A7ADE"/>
    <w:rsid w:val="003B015B"/>
    <w:rsid w:val="003B0519"/>
    <w:rsid w:val="003B0E16"/>
    <w:rsid w:val="003B149D"/>
    <w:rsid w:val="003B2ED6"/>
    <w:rsid w:val="003B5F1D"/>
    <w:rsid w:val="003B60F4"/>
    <w:rsid w:val="003B7D95"/>
    <w:rsid w:val="003C1589"/>
    <w:rsid w:val="003C3207"/>
    <w:rsid w:val="003C354E"/>
    <w:rsid w:val="003C376B"/>
    <w:rsid w:val="003C38F4"/>
    <w:rsid w:val="003C3BFB"/>
    <w:rsid w:val="003C43A7"/>
    <w:rsid w:val="003C480A"/>
    <w:rsid w:val="003C5190"/>
    <w:rsid w:val="003C6576"/>
    <w:rsid w:val="003C71BF"/>
    <w:rsid w:val="003C7DE3"/>
    <w:rsid w:val="003D052B"/>
    <w:rsid w:val="003D06CF"/>
    <w:rsid w:val="003D24B4"/>
    <w:rsid w:val="003D25BB"/>
    <w:rsid w:val="003D2727"/>
    <w:rsid w:val="003D2DF6"/>
    <w:rsid w:val="003D4ABE"/>
    <w:rsid w:val="003D69E5"/>
    <w:rsid w:val="003D7E64"/>
    <w:rsid w:val="003D7F8E"/>
    <w:rsid w:val="003E05EB"/>
    <w:rsid w:val="003E075C"/>
    <w:rsid w:val="003E1846"/>
    <w:rsid w:val="003E2CFF"/>
    <w:rsid w:val="003E3B44"/>
    <w:rsid w:val="003E3DFA"/>
    <w:rsid w:val="003E50D9"/>
    <w:rsid w:val="003E522F"/>
    <w:rsid w:val="003E59EB"/>
    <w:rsid w:val="003E5E8D"/>
    <w:rsid w:val="003E7E68"/>
    <w:rsid w:val="003F01E0"/>
    <w:rsid w:val="003F0E54"/>
    <w:rsid w:val="003F15EA"/>
    <w:rsid w:val="003F209A"/>
    <w:rsid w:val="003F323B"/>
    <w:rsid w:val="003F38C6"/>
    <w:rsid w:val="003F3A0F"/>
    <w:rsid w:val="003F3C5D"/>
    <w:rsid w:val="003F40E2"/>
    <w:rsid w:val="003F4603"/>
    <w:rsid w:val="003F4A69"/>
    <w:rsid w:val="003F4A96"/>
    <w:rsid w:val="003F545F"/>
    <w:rsid w:val="003F578F"/>
    <w:rsid w:val="003F6101"/>
    <w:rsid w:val="003F6135"/>
    <w:rsid w:val="003F61A0"/>
    <w:rsid w:val="003F641B"/>
    <w:rsid w:val="003F7823"/>
    <w:rsid w:val="003F7885"/>
    <w:rsid w:val="004004A7"/>
    <w:rsid w:val="00401A75"/>
    <w:rsid w:val="004024E6"/>
    <w:rsid w:val="00403D04"/>
    <w:rsid w:val="00404958"/>
    <w:rsid w:val="00405295"/>
    <w:rsid w:val="00407B2A"/>
    <w:rsid w:val="004147D4"/>
    <w:rsid w:val="0041787A"/>
    <w:rsid w:val="00417AA6"/>
    <w:rsid w:val="0042032E"/>
    <w:rsid w:val="004219C9"/>
    <w:rsid w:val="00422CD2"/>
    <w:rsid w:val="00423888"/>
    <w:rsid w:val="00423EA4"/>
    <w:rsid w:val="004240E3"/>
    <w:rsid w:val="00425A0E"/>
    <w:rsid w:val="00425EB9"/>
    <w:rsid w:val="00425FF5"/>
    <w:rsid w:val="00426D37"/>
    <w:rsid w:val="00430D2C"/>
    <w:rsid w:val="00431E70"/>
    <w:rsid w:val="00431F35"/>
    <w:rsid w:val="00432176"/>
    <w:rsid w:val="00434EF0"/>
    <w:rsid w:val="004350CF"/>
    <w:rsid w:val="00435419"/>
    <w:rsid w:val="004369E4"/>
    <w:rsid w:val="00441E63"/>
    <w:rsid w:val="00442482"/>
    <w:rsid w:val="00442CEF"/>
    <w:rsid w:val="00443392"/>
    <w:rsid w:val="00443C5D"/>
    <w:rsid w:val="00444257"/>
    <w:rsid w:val="004446EB"/>
    <w:rsid w:val="00444E82"/>
    <w:rsid w:val="00445DC6"/>
    <w:rsid w:val="00445FCE"/>
    <w:rsid w:val="00447D18"/>
    <w:rsid w:val="0045019A"/>
    <w:rsid w:val="004501FA"/>
    <w:rsid w:val="00450522"/>
    <w:rsid w:val="0045168E"/>
    <w:rsid w:val="004526E6"/>
    <w:rsid w:val="00453BC2"/>
    <w:rsid w:val="00455057"/>
    <w:rsid w:val="0045680C"/>
    <w:rsid w:val="00456D68"/>
    <w:rsid w:val="00461EA0"/>
    <w:rsid w:val="00462B50"/>
    <w:rsid w:val="00464199"/>
    <w:rsid w:val="004709E5"/>
    <w:rsid w:val="00470CE5"/>
    <w:rsid w:val="004721F2"/>
    <w:rsid w:val="00472372"/>
    <w:rsid w:val="00472F4C"/>
    <w:rsid w:val="004736C9"/>
    <w:rsid w:val="00473C09"/>
    <w:rsid w:val="004741A3"/>
    <w:rsid w:val="00475993"/>
    <w:rsid w:val="00475B18"/>
    <w:rsid w:val="00476621"/>
    <w:rsid w:val="00477EC6"/>
    <w:rsid w:val="004801D3"/>
    <w:rsid w:val="004807A1"/>
    <w:rsid w:val="00480899"/>
    <w:rsid w:val="004816C5"/>
    <w:rsid w:val="00482FCE"/>
    <w:rsid w:val="004859C1"/>
    <w:rsid w:val="00487049"/>
    <w:rsid w:val="0048748C"/>
    <w:rsid w:val="00490884"/>
    <w:rsid w:val="0049134B"/>
    <w:rsid w:val="00491CF1"/>
    <w:rsid w:val="00492449"/>
    <w:rsid w:val="00492959"/>
    <w:rsid w:val="00492AA4"/>
    <w:rsid w:val="00492B3E"/>
    <w:rsid w:val="004933D2"/>
    <w:rsid w:val="004947A4"/>
    <w:rsid w:val="00494D26"/>
    <w:rsid w:val="0049576E"/>
    <w:rsid w:val="004A186B"/>
    <w:rsid w:val="004A1A3A"/>
    <w:rsid w:val="004A3B8D"/>
    <w:rsid w:val="004A4C88"/>
    <w:rsid w:val="004A5823"/>
    <w:rsid w:val="004A5E4B"/>
    <w:rsid w:val="004A6123"/>
    <w:rsid w:val="004A7401"/>
    <w:rsid w:val="004B02AA"/>
    <w:rsid w:val="004B03B5"/>
    <w:rsid w:val="004B1F6F"/>
    <w:rsid w:val="004B454D"/>
    <w:rsid w:val="004B457A"/>
    <w:rsid w:val="004B4634"/>
    <w:rsid w:val="004B55E4"/>
    <w:rsid w:val="004B6671"/>
    <w:rsid w:val="004B694F"/>
    <w:rsid w:val="004B6EA8"/>
    <w:rsid w:val="004B6F8D"/>
    <w:rsid w:val="004C01DD"/>
    <w:rsid w:val="004C5683"/>
    <w:rsid w:val="004C5CE1"/>
    <w:rsid w:val="004C5CE5"/>
    <w:rsid w:val="004C659F"/>
    <w:rsid w:val="004C6E60"/>
    <w:rsid w:val="004D00C5"/>
    <w:rsid w:val="004D0FBF"/>
    <w:rsid w:val="004D1751"/>
    <w:rsid w:val="004D1B42"/>
    <w:rsid w:val="004D1EE5"/>
    <w:rsid w:val="004D2FB0"/>
    <w:rsid w:val="004D3C60"/>
    <w:rsid w:val="004D4506"/>
    <w:rsid w:val="004D4EA3"/>
    <w:rsid w:val="004D6112"/>
    <w:rsid w:val="004D64EF"/>
    <w:rsid w:val="004D6733"/>
    <w:rsid w:val="004D70CE"/>
    <w:rsid w:val="004D7FBE"/>
    <w:rsid w:val="004E0DA4"/>
    <w:rsid w:val="004E10ED"/>
    <w:rsid w:val="004E2861"/>
    <w:rsid w:val="004E2D01"/>
    <w:rsid w:val="004E3D84"/>
    <w:rsid w:val="004E48DF"/>
    <w:rsid w:val="004E7600"/>
    <w:rsid w:val="004E7EEB"/>
    <w:rsid w:val="004F239B"/>
    <w:rsid w:val="004F25BE"/>
    <w:rsid w:val="004F629D"/>
    <w:rsid w:val="004F62AB"/>
    <w:rsid w:val="004F6B5F"/>
    <w:rsid w:val="004F7AF0"/>
    <w:rsid w:val="00500303"/>
    <w:rsid w:val="005021BB"/>
    <w:rsid w:val="005022DF"/>
    <w:rsid w:val="00503014"/>
    <w:rsid w:val="00503174"/>
    <w:rsid w:val="00503342"/>
    <w:rsid w:val="00506B94"/>
    <w:rsid w:val="00507506"/>
    <w:rsid w:val="0051010B"/>
    <w:rsid w:val="0051051A"/>
    <w:rsid w:val="005110F1"/>
    <w:rsid w:val="00512B20"/>
    <w:rsid w:val="00513FD2"/>
    <w:rsid w:val="0051528F"/>
    <w:rsid w:val="005156D1"/>
    <w:rsid w:val="00515A9E"/>
    <w:rsid w:val="00515EAE"/>
    <w:rsid w:val="005164E0"/>
    <w:rsid w:val="005166F6"/>
    <w:rsid w:val="005169EB"/>
    <w:rsid w:val="005169F6"/>
    <w:rsid w:val="00517912"/>
    <w:rsid w:val="005219FF"/>
    <w:rsid w:val="0052238A"/>
    <w:rsid w:val="00522B72"/>
    <w:rsid w:val="00522BB1"/>
    <w:rsid w:val="0052394A"/>
    <w:rsid w:val="0052444F"/>
    <w:rsid w:val="00524AEB"/>
    <w:rsid w:val="005250C6"/>
    <w:rsid w:val="00530D3D"/>
    <w:rsid w:val="00530E75"/>
    <w:rsid w:val="0053387A"/>
    <w:rsid w:val="00533F1E"/>
    <w:rsid w:val="00534BCE"/>
    <w:rsid w:val="00535C1E"/>
    <w:rsid w:val="00535D4B"/>
    <w:rsid w:val="00537A50"/>
    <w:rsid w:val="00537DE8"/>
    <w:rsid w:val="00540A92"/>
    <w:rsid w:val="00540B3E"/>
    <w:rsid w:val="00544113"/>
    <w:rsid w:val="00544C86"/>
    <w:rsid w:val="00545811"/>
    <w:rsid w:val="00545E9D"/>
    <w:rsid w:val="0054644F"/>
    <w:rsid w:val="00546C20"/>
    <w:rsid w:val="00546E43"/>
    <w:rsid w:val="00546FD9"/>
    <w:rsid w:val="0054771F"/>
    <w:rsid w:val="0055008B"/>
    <w:rsid w:val="00550EB4"/>
    <w:rsid w:val="00551B92"/>
    <w:rsid w:val="00552502"/>
    <w:rsid w:val="00552AB3"/>
    <w:rsid w:val="00552E79"/>
    <w:rsid w:val="00553F19"/>
    <w:rsid w:val="00554F43"/>
    <w:rsid w:val="00555278"/>
    <w:rsid w:val="005553D3"/>
    <w:rsid w:val="00556385"/>
    <w:rsid w:val="00556D2B"/>
    <w:rsid w:val="005572A1"/>
    <w:rsid w:val="005576D2"/>
    <w:rsid w:val="00560F2A"/>
    <w:rsid w:val="00561019"/>
    <w:rsid w:val="00561458"/>
    <w:rsid w:val="0056181C"/>
    <w:rsid w:val="00562A65"/>
    <w:rsid w:val="00562BF4"/>
    <w:rsid w:val="00563FD4"/>
    <w:rsid w:val="0056402B"/>
    <w:rsid w:val="005653D4"/>
    <w:rsid w:val="0056696E"/>
    <w:rsid w:val="00567D0E"/>
    <w:rsid w:val="00571039"/>
    <w:rsid w:val="00571692"/>
    <w:rsid w:val="0057223C"/>
    <w:rsid w:val="00574C93"/>
    <w:rsid w:val="00574F5D"/>
    <w:rsid w:val="00575454"/>
    <w:rsid w:val="00575EBB"/>
    <w:rsid w:val="00576454"/>
    <w:rsid w:val="00577330"/>
    <w:rsid w:val="005775DE"/>
    <w:rsid w:val="00580064"/>
    <w:rsid w:val="005801D6"/>
    <w:rsid w:val="00580460"/>
    <w:rsid w:val="005814B8"/>
    <w:rsid w:val="00581BD5"/>
    <w:rsid w:val="00581DDE"/>
    <w:rsid w:val="00583810"/>
    <w:rsid w:val="005875DB"/>
    <w:rsid w:val="0058765B"/>
    <w:rsid w:val="0058779F"/>
    <w:rsid w:val="00591592"/>
    <w:rsid w:val="00592B06"/>
    <w:rsid w:val="00592F84"/>
    <w:rsid w:val="00593AB9"/>
    <w:rsid w:val="00594366"/>
    <w:rsid w:val="00594399"/>
    <w:rsid w:val="005975A6"/>
    <w:rsid w:val="005A0233"/>
    <w:rsid w:val="005A255E"/>
    <w:rsid w:val="005A4366"/>
    <w:rsid w:val="005A44A4"/>
    <w:rsid w:val="005A49D3"/>
    <w:rsid w:val="005A4CDE"/>
    <w:rsid w:val="005A5938"/>
    <w:rsid w:val="005A736B"/>
    <w:rsid w:val="005B2B13"/>
    <w:rsid w:val="005B2CE4"/>
    <w:rsid w:val="005B35BA"/>
    <w:rsid w:val="005B57F4"/>
    <w:rsid w:val="005B5BE9"/>
    <w:rsid w:val="005B6F8C"/>
    <w:rsid w:val="005C0234"/>
    <w:rsid w:val="005C043F"/>
    <w:rsid w:val="005C0EA0"/>
    <w:rsid w:val="005C10BF"/>
    <w:rsid w:val="005C410C"/>
    <w:rsid w:val="005C4E2B"/>
    <w:rsid w:val="005C6179"/>
    <w:rsid w:val="005D0FDB"/>
    <w:rsid w:val="005D109C"/>
    <w:rsid w:val="005D1C0D"/>
    <w:rsid w:val="005D24A2"/>
    <w:rsid w:val="005D25F2"/>
    <w:rsid w:val="005D2EF7"/>
    <w:rsid w:val="005D446F"/>
    <w:rsid w:val="005D5643"/>
    <w:rsid w:val="005D6A4F"/>
    <w:rsid w:val="005D71E8"/>
    <w:rsid w:val="005D7DFF"/>
    <w:rsid w:val="005E08C9"/>
    <w:rsid w:val="005E1E1C"/>
    <w:rsid w:val="005E1F70"/>
    <w:rsid w:val="005E21A1"/>
    <w:rsid w:val="005E27FE"/>
    <w:rsid w:val="005E31AA"/>
    <w:rsid w:val="005E31C4"/>
    <w:rsid w:val="005E461B"/>
    <w:rsid w:val="005E56A6"/>
    <w:rsid w:val="005E5786"/>
    <w:rsid w:val="005E5E42"/>
    <w:rsid w:val="005E6D37"/>
    <w:rsid w:val="005E7711"/>
    <w:rsid w:val="005E7A7F"/>
    <w:rsid w:val="005F1924"/>
    <w:rsid w:val="005F1B49"/>
    <w:rsid w:val="005F1F48"/>
    <w:rsid w:val="005F3C0C"/>
    <w:rsid w:val="005F3D4D"/>
    <w:rsid w:val="005F42D7"/>
    <w:rsid w:val="005F4DA4"/>
    <w:rsid w:val="005F5E4F"/>
    <w:rsid w:val="005F68A7"/>
    <w:rsid w:val="005F769A"/>
    <w:rsid w:val="005F7CF1"/>
    <w:rsid w:val="006000B6"/>
    <w:rsid w:val="00601427"/>
    <w:rsid w:val="00602C1E"/>
    <w:rsid w:val="00604524"/>
    <w:rsid w:val="00605AAE"/>
    <w:rsid w:val="00605DC6"/>
    <w:rsid w:val="00607694"/>
    <w:rsid w:val="006105A6"/>
    <w:rsid w:val="00611629"/>
    <w:rsid w:val="006120F8"/>
    <w:rsid w:val="006126DD"/>
    <w:rsid w:val="00613AC0"/>
    <w:rsid w:val="00614D31"/>
    <w:rsid w:val="00615BD2"/>
    <w:rsid w:val="006165D7"/>
    <w:rsid w:val="00617B40"/>
    <w:rsid w:val="00620FF2"/>
    <w:rsid w:val="00621B50"/>
    <w:rsid w:val="006230A8"/>
    <w:rsid w:val="00623817"/>
    <w:rsid w:val="0062405C"/>
    <w:rsid w:val="00624B0C"/>
    <w:rsid w:val="00624C11"/>
    <w:rsid w:val="006258DF"/>
    <w:rsid w:val="00625C17"/>
    <w:rsid w:val="0063079B"/>
    <w:rsid w:val="00631CD7"/>
    <w:rsid w:val="00631D60"/>
    <w:rsid w:val="00631DD6"/>
    <w:rsid w:val="0063221F"/>
    <w:rsid w:val="00632CB2"/>
    <w:rsid w:val="00633A5D"/>
    <w:rsid w:val="00634027"/>
    <w:rsid w:val="00636154"/>
    <w:rsid w:val="00636FB7"/>
    <w:rsid w:val="00637804"/>
    <w:rsid w:val="0064023B"/>
    <w:rsid w:val="00640CF3"/>
    <w:rsid w:val="00640F65"/>
    <w:rsid w:val="0064432F"/>
    <w:rsid w:val="006446BB"/>
    <w:rsid w:val="0064521C"/>
    <w:rsid w:val="006453D2"/>
    <w:rsid w:val="00645F0D"/>
    <w:rsid w:val="00646785"/>
    <w:rsid w:val="006469D0"/>
    <w:rsid w:val="00650420"/>
    <w:rsid w:val="00650CCF"/>
    <w:rsid w:val="00650F18"/>
    <w:rsid w:val="006529B1"/>
    <w:rsid w:val="006536D8"/>
    <w:rsid w:val="00655199"/>
    <w:rsid w:val="00656269"/>
    <w:rsid w:val="00656E59"/>
    <w:rsid w:val="006571EA"/>
    <w:rsid w:val="006574A2"/>
    <w:rsid w:val="006603C8"/>
    <w:rsid w:val="00660494"/>
    <w:rsid w:val="00660949"/>
    <w:rsid w:val="0066182D"/>
    <w:rsid w:val="00664C4E"/>
    <w:rsid w:val="00670D4C"/>
    <w:rsid w:val="00671676"/>
    <w:rsid w:val="0067234F"/>
    <w:rsid w:val="0067351B"/>
    <w:rsid w:val="00673860"/>
    <w:rsid w:val="00674583"/>
    <w:rsid w:val="0067471E"/>
    <w:rsid w:val="006751D3"/>
    <w:rsid w:val="006756E5"/>
    <w:rsid w:val="00675F33"/>
    <w:rsid w:val="00676096"/>
    <w:rsid w:val="0067650B"/>
    <w:rsid w:val="00676749"/>
    <w:rsid w:val="00676830"/>
    <w:rsid w:val="00676DCE"/>
    <w:rsid w:val="00680D6F"/>
    <w:rsid w:val="00680E72"/>
    <w:rsid w:val="00681AD2"/>
    <w:rsid w:val="00683154"/>
    <w:rsid w:val="00683471"/>
    <w:rsid w:val="00683488"/>
    <w:rsid w:val="00684879"/>
    <w:rsid w:val="00684A41"/>
    <w:rsid w:val="00685167"/>
    <w:rsid w:val="00686A44"/>
    <w:rsid w:val="00690539"/>
    <w:rsid w:val="00690E4A"/>
    <w:rsid w:val="00693C70"/>
    <w:rsid w:val="00694B43"/>
    <w:rsid w:val="006968A1"/>
    <w:rsid w:val="00697309"/>
    <w:rsid w:val="006976F4"/>
    <w:rsid w:val="00697DC5"/>
    <w:rsid w:val="006A0036"/>
    <w:rsid w:val="006A0E10"/>
    <w:rsid w:val="006A108A"/>
    <w:rsid w:val="006A1D6E"/>
    <w:rsid w:val="006A2194"/>
    <w:rsid w:val="006A225F"/>
    <w:rsid w:val="006A2F16"/>
    <w:rsid w:val="006A324B"/>
    <w:rsid w:val="006A3F62"/>
    <w:rsid w:val="006A4A69"/>
    <w:rsid w:val="006A5567"/>
    <w:rsid w:val="006A5FA7"/>
    <w:rsid w:val="006A7ECE"/>
    <w:rsid w:val="006B0262"/>
    <w:rsid w:val="006B165C"/>
    <w:rsid w:val="006B178D"/>
    <w:rsid w:val="006B2C24"/>
    <w:rsid w:val="006B2F9D"/>
    <w:rsid w:val="006B55C0"/>
    <w:rsid w:val="006B6CA5"/>
    <w:rsid w:val="006B7A64"/>
    <w:rsid w:val="006C0870"/>
    <w:rsid w:val="006C1DC8"/>
    <w:rsid w:val="006C2031"/>
    <w:rsid w:val="006C262B"/>
    <w:rsid w:val="006C2884"/>
    <w:rsid w:val="006C3A3E"/>
    <w:rsid w:val="006C40BE"/>
    <w:rsid w:val="006C63FB"/>
    <w:rsid w:val="006D07D6"/>
    <w:rsid w:val="006D0D12"/>
    <w:rsid w:val="006D2F03"/>
    <w:rsid w:val="006D4311"/>
    <w:rsid w:val="006D5B4F"/>
    <w:rsid w:val="006D5DE0"/>
    <w:rsid w:val="006D6581"/>
    <w:rsid w:val="006E01EE"/>
    <w:rsid w:val="006E2136"/>
    <w:rsid w:val="006E2855"/>
    <w:rsid w:val="006E446B"/>
    <w:rsid w:val="006E514C"/>
    <w:rsid w:val="006E51C0"/>
    <w:rsid w:val="006E6C42"/>
    <w:rsid w:val="006E70ED"/>
    <w:rsid w:val="006E722A"/>
    <w:rsid w:val="006F01D9"/>
    <w:rsid w:val="006F116F"/>
    <w:rsid w:val="006F1C4B"/>
    <w:rsid w:val="006F2098"/>
    <w:rsid w:val="006F3C4D"/>
    <w:rsid w:val="006F4151"/>
    <w:rsid w:val="006F574D"/>
    <w:rsid w:val="006F6028"/>
    <w:rsid w:val="006F62C7"/>
    <w:rsid w:val="007007DC"/>
    <w:rsid w:val="007055E3"/>
    <w:rsid w:val="007059CB"/>
    <w:rsid w:val="00706F2F"/>
    <w:rsid w:val="00706F87"/>
    <w:rsid w:val="00706FA3"/>
    <w:rsid w:val="00706FBD"/>
    <w:rsid w:val="00707C40"/>
    <w:rsid w:val="007106CE"/>
    <w:rsid w:val="0071146E"/>
    <w:rsid w:val="00711A32"/>
    <w:rsid w:val="00712883"/>
    <w:rsid w:val="007131B6"/>
    <w:rsid w:val="007132D4"/>
    <w:rsid w:val="007135DE"/>
    <w:rsid w:val="00713926"/>
    <w:rsid w:val="00716824"/>
    <w:rsid w:val="00716898"/>
    <w:rsid w:val="00716942"/>
    <w:rsid w:val="00717205"/>
    <w:rsid w:val="007203CA"/>
    <w:rsid w:val="0072051F"/>
    <w:rsid w:val="0072059C"/>
    <w:rsid w:val="007205AD"/>
    <w:rsid w:val="00720B0E"/>
    <w:rsid w:val="00721F68"/>
    <w:rsid w:val="00722B93"/>
    <w:rsid w:val="00723653"/>
    <w:rsid w:val="0072443C"/>
    <w:rsid w:val="007249F5"/>
    <w:rsid w:val="007268BC"/>
    <w:rsid w:val="00727CCA"/>
    <w:rsid w:val="00727DF3"/>
    <w:rsid w:val="007301C6"/>
    <w:rsid w:val="00731848"/>
    <w:rsid w:val="00732FFE"/>
    <w:rsid w:val="00735A32"/>
    <w:rsid w:val="007362C8"/>
    <w:rsid w:val="00737352"/>
    <w:rsid w:val="00737355"/>
    <w:rsid w:val="00740084"/>
    <w:rsid w:val="007401EE"/>
    <w:rsid w:val="00740CF3"/>
    <w:rsid w:val="00740EBA"/>
    <w:rsid w:val="00742DA9"/>
    <w:rsid w:val="007431E7"/>
    <w:rsid w:val="007438AB"/>
    <w:rsid w:val="00744EB5"/>
    <w:rsid w:val="00744FE6"/>
    <w:rsid w:val="00746FF3"/>
    <w:rsid w:val="007472AF"/>
    <w:rsid w:val="00747490"/>
    <w:rsid w:val="00747AC1"/>
    <w:rsid w:val="00747EA1"/>
    <w:rsid w:val="00750924"/>
    <w:rsid w:val="00750DAF"/>
    <w:rsid w:val="00750F85"/>
    <w:rsid w:val="007522CF"/>
    <w:rsid w:val="0075268A"/>
    <w:rsid w:val="0075471D"/>
    <w:rsid w:val="00755B02"/>
    <w:rsid w:val="00755C25"/>
    <w:rsid w:val="00756535"/>
    <w:rsid w:val="007567AD"/>
    <w:rsid w:val="007569A7"/>
    <w:rsid w:val="00757328"/>
    <w:rsid w:val="0075752F"/>
    <w:rsid w:val="00757ED0"/>
    <w:rsid w:val="0076107F"/>
    <w:rsid w:val="00765C66"/>
    <w:rsid w:val="0076603A"/>
    <w:rsid w:val="00767851"/>
    <w:rsid w:val="007678A4"/>
    <w:rsid w:val="0077085A"/>
    <w:rsid w:val="00770BF6"/>
    <w:rsid w:val="00771F82"/>
    <w:rsid w:val="00772115"/>
    <w:rsid w:val="007722A3"/>
    <w:rsid w:val="007726E1"/>
    <w:rsid w:val="00772DC5"/>
    <w:rsid w:val="00775E74"/>
    <w:rsid w:val="00777628"/>
    <w:rsid w:val="0078096B"/>
    <w:rsid w:val="007814BB"/>
    <w:rsid w:val="0078393D"/>
    <w:rsid w:val="00784D77"/>
    <w:rsid w:val="00785C44"/>
    <w:rsid w:val="007863B2"/>
    <w:rsid w:val="00786698"/>
    <w:rsid w:val="007905C0"/>
    <w:rsid w:val="007916A0"/>
    <w:rsid w:val="00792B96"/>
    <w:rsid w:val="00794856"/>
    <w:rsid w:val="007949A4"/>
    <w:rsid w:val="00795963"/>
    <w:rsid w:val="00795B38"/>
    <w:rsid w:val="00796644"/>
    <w:rsid w:val="007973D0"/>
    <w:rsid w:val="007A018F"/>
    <w:rsid w:val="007A0670"/>
    <w:rsid w:val="007A34F6"/>
    <w:rsid w:val="007A3C02"/>
    <w:rsid w:val="007A6D2D"/>
    <w:rsid w:val="007A6F74"/>
    <w:rsid w:val="007B3A16"/>
    <w:rsid w:val="007B3F2D"/>
    <w:rsid w:val="007B446E"/>
    <w:rsid w:val="007B5C3C"/>
    <w:rsid w:val="007B67A6"/>
    <w:rsid w:val="007B742C"/>
    <w:rsid w:val="007C0113"/>
    <w:rsid w:val="007C0417"/>
    <w:rsid w:val="007C0C4A"/>
    <w:rsid w:val="007C33A3"/>
    <w:rsid w:val="007C45F7"/>
    <w:rsid w:val="007C5005"/>
    <w:rsid w:val="007C5488"/>
    <w:rsid w:val="007C5F20"/>
    <w:rsid w:val="007C5FE0"/>
    <w:rsid w:val="007D0363"/>
    <w:rsid w:val="007D09DC"/>
    <w:rsid w:val="007D0D9E"/>
    <w:rsid w:val="007D38A6"/>
    <w:rsid w:val="007D464F"/>
    <w:rsid w:val="007D69C1"/>
    <w:rsid w:val="007D7A2C"/>
    <w:rsid w:val="007D7C64"/>
    <w:rsid w:val="007E09F2"/>
    <w:rsid w:val="007E1E3F"/>
    <w:rsid w:val="007E2945"/>
    <w:rsid w:val="007E2B44"/>
    <w:rsid w:val="007E2BD0"/>
    <w:rsid w:val="007E3A39"/>
    <w:rsid w:val="007E46D1"/>
    <w:rsid w:val="007E6258"/>
    <w:rsid w:val="007E7828"/>
    <w:rsid w:val="007E7BB9"/>
    <w:rsid w:val="007F06CA"/>
    <w:rsid w:val="007F32AA"/>
    <w:rsid w:val="007F3DB4"/>
    <w:rsid w:val="007F561D"/>
    <w:rsid w:val="007F5F1E"/>
    <w:rsid w:val="007F6B84"/>
    <w:rsid w:val="007F714D"/>
    <w:rsid w:val="007F72DD"/>
    <w:rsid w:val="008013C6"/>
    <w:rsid w:val="008015AD"/>
    <w:rsid w:val="00801F99"/>
    <w:rsid w:val="00802815"/>
    <w:rsid w:val="00802ECC"/>
    <w:rsid w:val="0080337C"/>
    <w:rsid w:val="00804015"/>
    <w:rsid w:val="00804373"/>
    <w:rsid w:val="00804DD0"/>
    <w:rsid w:val="00804ED0"/>
    <w:rsid w:val="00805668"/>
    <w:rsid w:val="00806493"/>
    <w:rsid w:val="008074AB"/>
    <w:rsid w:val="00807E7F"/>
    <w:rsid w:val="00810187"/>
    <w:rsid w:val="008114A2"/>
    <w:rsid w:val="0081203F"/>
    <w:rsid w:val="00812713"/>
    <w:rsid w:val="008129C7"/>
    <w:rsid w:val="00813505"/>
    <w:rsid w:val="008137C3"/>
    <w:rsid w:val="008144D1"/>
    <w:rsid w:val="00814D52"/>
    <w:rsid w:val="008152A7"/>
    <w:rsid w:val="008157DE"/>
    <w:rsid w:val="008159C3"/>
    <w:rsid w:val="00816192"/>
    <w:rsid w:val="00816858"/>
    <w:rsid w:val="008202AE"/>
    <w:rsid w:val="00821279"/>
    <w:rsid w:val="008212F8"/>
    <w:rsid w:val="00822B67"/>
    <w:rsid w:val="00823540"/>
    <w:rsid w:val="00823A4E"/>
    <w:rsid w:val="008240F2"/>
    <w:rsid w:val="00824966"/>
    <w:rsid w:val="008252D2"/>
    <w:rsid w:val="008252E7"/>
    <w:rsid w:val="0082566D"/>
    <w:rsid w:val="008307A0"/>
    <w:rsid w:val="00832243"/>
    <w:rsid w:val="008335BA"/>
    <w:rsid w:val="00835114"/>
    <w:rsid w:val="00837164"/>
    <w:rsid w:val="008374AC"/>
    <w:rsid w:val="00840DBF"/>
    <w:rsid w:val="008415D8"/>
    <w:rsid w:val="008421ED"/>
    <w:rsid w:val="008427C0"/>
    <w:rsid w:val="00842EDA"/>
    <w:rsid w:val="00843408"/>
    <w:rsid w:val="00843A43"/>
    <w:rsid w:val="00843EBF"/>
    <w:rsid w:val="00847E1C"/>
    <w:rsid w:val="00850C7D"/>
    <w:rsid w:val="00850CC6"/>
    <w:rsid w:val="00853D92"/>
    <w:rsid w:val="008547DA"/>
    <w:rsid w:val="00854A74"/>
    <w:rsid w:val="008550EC"/>
    <w:rsid w:val="00855D7F"/>
    <w:rsid w:val="008562D1"/>
    <w:rsid w:val="00860B22"/>
    <w:rsid w:val="008614C8"/>
    <w:rsid w:val="008619B1"/>
    <w:rsid w:val="00861F5C"/>
    <w:rsid w:val="0086227F"/>
    <w:rsid w:val="00863153"/>
    <w:rsid w:val="00864850"/>
    <w:rsid w:val="00864E7A"/>
    <w:rsid w:val="00867E73"/>
    <w:rsid w:val="00871D4F"/>
    <w:rsid w:val="00871E19"/>
    <w:rsid w:val="008748CB"/>
    <w:rsid w:val="00881E87"/>
    <w:rsid w:val="008842D4"/>
    <w:rsid w:val="00884732"/>
    <w:rsid w:val="00884DE7"/>
    <w:rsid w:val="00885671"/>
    <w:rsid w:val="0088681C"/>
    <w:rsid w:val="0088691E"/>
    <w:rsid w:val="00887473"/>
    <w:rsid w:val="00887506"/>
    <w:rsid w:val="0088763A"/>
    <w:rsid w:val="0089099F"/>
    <w:rsid w:val="008909F8"/>
    <w:rsid w:val="00890A5E"/>
    <w:rsid w:val="00890CA1"/>
    <w:rsid w:val="008914D6"/>
    <w:rsid w:val="00892254"/>
    <w:rsid w:val="0089259E"/>
    <w:rsid w:val="00892F86"/>
    <w:rsid w:val="008938D2"/>
    <w:rsid w:val="00895E57"/>
    <w:rsid w:val="008963E5"/>
    <w:rsid w:val="0089674B"/>
    <w:rsid w:val="00896E6B"/>
    <w:rsid w:val="008972D3"/>
    <w:rsid w:val="008A0506"/>
    <w:rsid w:val="008A1439"/>
    <w:rsid w:val="008A1B4D"/>
    <w:rsid w:val="008A2228"/>
    <w:rsid w:val="008A2895"/>
    <w:rsid w:val="008A2A1C"/>
    <w:rsid w:val="008A326B"/>
    <w:rsid w:val="008A331F"/>
    <w:rsid w:val="008A35B0"/>
    <w:rsid w:val="008A4247"/>
    <w:rsid w:val="008A45A4"/>
    <w:rsid w:val="008A5324"/>
    <w:rsid w:val="008A654B"/>
    <w:rsid w:val="008A79F2"/>
    <w:rsid w:val="008A7BAD"/>
    <w:rsid w:val="008B051B"/>
    <w:rsid w:val="008B15B9"/>
    <w:rsid w:val="008B1BF6"/>
    <w:rsid w:val="008B1C29"/>
    <w:rsid w:val="008B2508"/>
    <w:rsid w:val="008B2E74"/>
    <w:rsid w:val="008B53AB"/>
    <w:rsid w:val="008B54D2"/>
    <w:rsid w:val="008B5AE9"/>
    <w:rsid w:val="008B63B5"/>
    <w:rsid w:val="008B685D"/>
    <w:rsid w:val="008B6E06"/>
    <w:rsid w:val="008B728D"/>
    <w:rsid w:val="008C05F9"/>
    <w:rsid w:val="008C2699"/>
    <w:rsid w:val="008C2F91"/>
    <w:rsid w:val="008C2FDA"/>
    <w:rsid w:val="008C39CE"/>
    <w:rsid w:val="008C57E2"/>
    <w:rsid w:val="008D0723"/>
    <w:rsid w:val="008D0C7C"/>
    <w:rsid w:val="008D13C5"/>
    <w:rsid w:val="008D1ED5"/>
    <w:rsid w:val="008D25A5"/>
    <w:rsid w:val="008D4DA7"/>
    <w:rsid w:val="008D5B72"/>
    <w:rsid w:val="008D6F35"/>
    <w:rsid w:val="008D7BA9"/>
    <w:rsid w:val="008E01E7"/>
    <w:rsid w:val="008E0291"/>
    <w:rsid w:val="008E048A"/>
    <w:rsid w:val="008E04BD"/>
    <w:rsid w:val="008E20F0"/>
    <w:rsid w:val="008E2710"/>
    <w:rsid w:val="008E285A"/>
    <w:rsid w:val="008E349E"/>
    <w:rsid w:val="008E4CB7"/>
    <w:rsid w:val="008E4D82"/>
    <w:rsid w:val="008E5090"/>
    <w:rsid w:val="008E5954"/>
    <w:rsid w:val="008E685B"/>
    <w:rsid w:val="008F0D7A"/>
    <w:rsid w:val="008F0EA8"/>
    <w:rsid w:val="008F13A4"/>
    <w:rsid w:val="008F16BA"/>
    <w:rsid w:val="008F174C"/>
    <w:rsid w:val="008F2351"/>
    <w:rsid w:val="008F24C4"/>
    <w:rsid w:val="008F277A"/>
    <w:rsid w:val="008F3CA8"/>
    <w:rsid w:val="008F40ED"/>
    <w:rsid w:val="008F4C43"/>
    <w:rsid w:val="008F59FB"/>
    <w:rsid w:val="00900A5E"/>
    <w:rsid w:val="00900E10"/>
    <w:rsid w:val="00901078"/>
    <w:rsid w:val="00901B12"/>
    <w:rsid w:val="00901E66"/>
    <w:rsid w:val="009037B6"/>
    <w:rsid w:val="00904658"/>
    <w:rsid w:val="00904AC2"/>
    <w:rsid w:val="009050A9"/>
    <w:rsid w:val="00905E80"/>
    <w:rsid w:val="00906E07"/>
    <w:rsid w:val="00907850"/>
    <w:rsid w:val="00912618"/>
    <w:rsid w:val="0091321A"/>
    <w:rsid w:val="0091526B"/>
    <w:rsid w:val="00915348"/>
    <w:rsid w:val="00915A61"/>
    <w:rsid w:val="009166B7"/>
    <w:rsid w:val="00916A4A"/>
    <w:rsid w:val="00916F18"/>
    <w:rsid w:val="00917E62"/>
    <w:rsid w:val="009200CE"/>
    <w:rsid w:val="0092026E"/>
    <w:rsid w:val="00924106"/>
    <w:rsid w:val="00925F7C"/>
    <w:rsid w:val="00932387"/>
    <w:rsid w:val="00932FC3"/>
    <w:rsid w:val="0093398E"/>
    <w:rsid w:val="00935166"/>
    <w:rsid w:val="00936E13"/>
    <w:rsid w:val="0093701F"/>
    <w:rsid w:val="00937733"/>
    <w:rsid w:val="00940068"/>
    <w:rsid w:val="00940534"/>
    <w:rsid w:val="0094289B"/>
    <w:rsid w:val="00942D7D"/>
    <w:rsid w:val="00943911"/>
    <w:rsid w:val="00944DD1"/>
    <w:rsid w:val="00945199"/>
    <w:rsid w:val="00945A41"/>
    <w:rsid w:val="00950683"/>
    <w:rsid w:val="009524C2"/>
    <w:rsid w:val="009527FF"/>
    <w:rsid w:val="00953DBB"/>
    <w:rsid w:val="009540D3"/>
    <w:rsid w:val="009567E2"/>
    <w:rsid w:val="0095757F"/>
    <w:rsid w:val="00957672"/>
    <w:rsid w:val="00957BBD"/>
    <w:rsid w:val="00961BF0"/>
    <w:rsid w:val="00962B57"/>
    <w:rsid w:val="009630F5"/>
    <w:rsid w:val="00964637"/>
    <w:rsid w:val="00964D4B"/>
    <w:rsid w:val="00965EAE"/>
    <w:rsid w:val="00966505"/>
    <w:rsid w:val="009676B2"/>
    <w:rsid w:val="009705E4"/>
    <w:rsid w:val="00970DE3"/>
    <w:rsid w:val="00971BA3"/>
    <w:rsid w:val="00971CB9"/>
    <w:rsid w:val="00971D95"/>
    <w:rsid w:val="00972AE8"/>
    <w:rsid w:val="00972DAB"/>
    <w:rsid w:val="0097399A"/>
    <w:rsid w:val="00973B40"/>
    <w:rsid w:val="00974455"/>
    <w:rsid w:val="00975240"/>
    <w:rsid w:val="00976583"/>
    <w:rsid w:val="00976DA8"/>
    <w:rsid w:val="00976FD7"/>
    <w:rsid w:val="00980A06"/>
    <w:rsid w:val="009810B4"/>
    <w:rsid w:val="009815F9"/>
    <w:rsid w:val="00983026"/>
    <w:rsid w:val="00983117"/>
    <w:rsid w:val="0098335D"/>
    <w:rsid w:val="00983DF5"/>
    <w:rsid w:val="00985200"/>
    <w:rsid w:val="00986F7D"/>
    <w:rsid w:val="00987173"/>
    <w:rsid w:val="00987506"/>
    <w:rsid w:val="0098770E"/>
    <w:rsid w:val="009905EA"/>
    <w:rsid w:val="0099142B"/>
    <w:rsid w:val="00991C13"/>
    <w:rsid w:val="00992396"/>
    <w:rsid w:val="00992849"/>
    <w:rsid w:val="00993008"/>
    <w:rsid w:val="0099522D"/>
    <w:rsid w:val="009954BB"/>
    <w:rsid w:val="00996D03"/>
    <w:rsid w:val="00996E10"/>
    <w:rsid w:val="00997D79"/>
    <w:rsid w:val="009A1E9D"/>
    <w:rsid w:val="009A2FC4"/>
    <w:rsid w:val="009A332D"/>
    <w:rsid w:val="009A42BF"/>
    <w:rsid w:val="009A666B"/>
    <w:rsid w:val="009A69D2"/>
    <w:rsid w:val="009A6C59"/>
    <w:rsid w:val="009B1373"/>
    <w:rsid w:val="009B15B1"/>
    <w:rsid w:val="009B27BC"/>
    <w:rsid w:val="009B39DE"/>
    <w:rsid w:val="009B3A32"/>
    <w:rsid w:val="009B3C7D"/>
    <w:rsid w:val="009B3CFA"/>
    <w:rsid w:val="009B68A0"/>
    <w:rsid w:val="009C0C53"/>
    <w:rsid w:val="009C1054"/>
    <w:rsid w:val="009C29BF"/>
    <w:rsid w:val="009C37DE"/>
    <w:rsid w:val="009C43F9"/>
    <w:rsid w:val="009C4BD7"/>
    <w:rsid w:val="009C5A55"/>
    <w:rsid w:val="009C5C5F"/>
    <w:rsid w:val="009C5E18"/>
    <w:rsid w:val="009C6274"/>
    <w:rsid w:val="009C6CE0"/>
    <w:rsid w:val="009C73FC"/>
    <w:rsid w:val="009D0133"/>
    <w:rsid w:val="009D0349"/>
    <w:rsid w:val="009D0AA8"/>
    <w:rsid w:val="009D0F2E"/>
    <w:rsid w:val="009D2123"/>
    <w:rsid w:val="009D4097"/>
    <w:rsid w:val="009D4B5C"/>
    <w:rsid w:val="009D4ED9"/>
    <w:rsid w:val="009D6A44"/>
    <w:rsid w:val="009D721D"/>
    <w:rsid w:val="009E0874"/>
    <w:rsid w:val="009E1207"/>
    <w:rsid w:val="009E469C"/>
    <w:rsid w:val="009E4D5A"/>
    <w:rsid w:val="009E71D4"/>
    <w:rsid w:val="009E7CA6"/>
    <w:rsid w:val="009F0E0B"/>
    <w:rsid w:val="009F1FFA"/>
    <w:rsid w:val="009F29EF"/>
    <w:rsid w:val="009F3363"/>
    <w:rsid w:val="009F33FF"/>
    <w:rsid w:val="009F3ADD"/>
    <w:rsid w:val="009F3AE4"/>
    <w:rsid w:val="009F5C70"/>
    <w:rsid w:val="009F6E7D"/>
    <w:rsid w:val="009F79BC"/>
    <w:rsid w:val="00A026D5"/>
    <w:rsid w:val="00A02FD2"/>
    <w:rsid w:val="00A04C9F"/>
    <w:rsid w:val="00A0542B"/>
    <w:rsid w:val="00A0659C"/>
    <w:rsid w:val="00A07315"/>
    <w:rsid w:val="00A100A8"/>
    <w:rsid w:val="00A113C1"/>
    <w:rsid w:val="00A11424"/>
    <w:rsid w:val="00A11BD0"/>
    <w:rsid w:val="00A14835"/>
    <w:rsid w:val="00A14941"/>
    <w:rsid w:val="00A17CB8"/>
    <w:rsid w:val="00A2017E"/>
    <w:rsid w:val="00A20329"/>
    <w:rsid w:val="00A2034C"/>
    <w:rsid w:val="00A2220C"/>
    <w:rsid w:val="00A22CA6"/>
    <w:rsid w:val="00A236D5"/>
    <w:rsid w:val="00A24A30"/>
    <w:rsid w:val="00A24D13"/>
    <w:rsid w:val="00A268DD"/>
    <w:rsid w:val="00A26E9A"/>
    <w:rsid w:val="00A3063F"/>
    <w:rsid w:val="00A32298"/>
    <w:rsid w:val="00A32457"/>
    <w:rsid w:val="00A32BDA"/>
    <w:rsid w:val="00A34B50"/>
    <w:rsid w:val="00A34B56"/>
    <w:rsid w:val="00A36086"/>
    <w:rsid w:val="00A36221"/>
    <w:rsid w:val="00A3697F"/>
    <w:rsid w:val="00A371D8"/>
    <w:rsid w:val="00A3759A"/>
    <w:rsid w:val="00A376AA"/>
    <w:rsid w:val="00A4208B"/>
    <w:rsid w:val="00A454ED"/>
    <w:rsid w:val="00A4590C"/>
    <w:rsid w:val="00A45F84"/>
    <w:rsid w:val="00A45FE3"/>
    <w:rsid w:val="00A46587"/>
    <w:rsid w:val="00A471B4"/>
    <w:rsid w:val="00A47BF0"/>
    <w:rsid w:val="00A50062"/>
    <w:rsid w:val="00A50D2D"/>
    <w:rsid w:val="00A5217C"/>
    <w:rsid w:val="00A523AE"/>
    <w:rsid w:val="00A52F29"/>
    <w:rsid w:val="00A535EE"/>
    <w:rsid w:val="00A542EE"/>
    <w:rsid w:val="00A54324"/>
    <w:rsid w:val="00A5520F"/>
    <w:rsid w:val="00A55725"/>
    <w:rsid w:val="00A55AD5"/>
    <w:rsid w:val="00A55D86"/>
    <w:rsid w:val="00A567E8"/>
    <w:rsid w:val="00A56B7C"/>
    <w:rsid w:val="00A60E1D"/>
    <w:rsid w:val="00A624E5"/>
    <w:rsid w:val="00A637B7"/>
    <w:rsid w:val="00A63A8B"/>
    <w:rsid w:val="00A651CA"/>
    <w:rsid w:val="00A6724B"/>
    <w:rsid w:val="00A67A2F"/>
    <w:rsid w:val="00A7215A"/>
    <w:rsid w:val="00A7218F"/>
    <w:rsid w:val="00A7231C"/>
    <w:rsid w:val="00A723FE"/>
    <w:rsid w:val="00A72653"/>
    <w:rsid w:val="00A75752"/>
    <w:rsid w:val="00A7652E"/>
    <w:rsid w:val="00A765FA"/>
    <w:rsid w:val="00A767D2"/>
    <w:rsid w:val="00A7695B"/>
    <w:rsid w:val="00A81239"/>
    <w:rsid w:val="00A81A0A"/>
    <w:rsid w:val="00A84884"/>
    <w:rsid w:val="00A84E58"/>
    <w:rsid w:val="00A87626"/>
    <w:rsid w:val="00A959E8"/>
    <w:rsid w:val="00A95BDE"/>
    <w:rsid w:val="00A975DA"/>
    <w:rsid w:val="00AA1A1E"/>
    <w:rsid w:val="00AA2374"/>
    <w:rsid w:val="00AA30EA"/>
    <w:rsid w:val="00AA3701"/>
    <w:rsid w:val="00AA3FE6"/>
    <w:rsid w:val="00AA738F"/>
    <w:rsid w:val="00AA7FDB"/>
    <w:rsid w:val="00AB07E3"/>
    <w:rsid w:val="00AB0CF4"/>
    <w:rsid w:val="00AB29AC"/>
    <w:rsid w:val="00AB3A69"/>
    <w:rsid w:val="00AB4DD5"/>
    <w:rsid w:val="00AB65E0"/>
    <w:rsid w:val="00AB6A1E"/>
    <w:rsid w:val="00AB6D11"/>
    <w:rsid w:val="00AB7C98"/>
    <w:rsid w:val="00AC0803"/>
    <w:rsid w:val="00AC1456"/>
    <w:rsid w:val="00AC1E60"/>
    <w:rsid w:val="00AC2480"/>
    <w:rsid w:val="00AC284A"/>
    <w:rsid w:val="00AC2EC7"/>
    <w:rsid w:val="00AC3613"/>
    <w:rsid w:val="00AC4243"/>
    <w:rsid w:val="00AC7D78"/>
    <w:rsid w:val="00AD07F5"/>
    <w:rsid w:val="00AD0E84"/>
    <w:rsid w:val="00AD2A95"/>
    <w:rsid w:val="00AD2F7F"/>
    <w:rsid w:val="00AD3A7F"/>
    <w:rsid w:val="00AD3CA8"/>
    <w:rsid w:val="00AD65BF"/>
    <w:rsid w:val="00AD695A"/>
    <w:rsid w:val="00AE0A49"/>
    <w:rsid w:val="00AE0E8C"/>
    <w:rsid w:val="00AE1605"/>
    <w:rsid w:val="00AE1AF0"/>
    <w:rsid w:val="00AE2C09"/>
    <w:rsid w:val="00AE30E6"/>
    <w:rsid w:val="00AE4EF6"/>
    <w:rsid w:val="00AE5B77"/>
    <w:rsid w:val="00AE646B"/>
    <w:rsid w:val="00AE69B4"/>
    <w:rsid w:val="00AE6D2C"/>
    <w:rsid w:val="00AF0331"/>
    <w:rsid w:val="00AF0C26"/>
    <w:rsid w:val="00AF2179"/>
    <w:rsid w:val="00AF24E2"/>
    <w:rsid w:val="00AF2681"/>
    <w:rsid w:val="00AF4D2A"/>
    <w:rsid w:val="00AF5A6F"/>
    <w:rsid w:val="00AF6AC1"/>
    <w:rsid w:val="00AF70E9"/>
    <w:rsid w:val="00B016D0"/>
    <w:rsid w:val="00B01E84"/>
    <w:rsid w:val="00B028D9"/>
    <w:rsid w:val="00B02A9D"/>
    <w:rsid w:val="00B02F8B"/>
    <w:rsid w:val="00B0317F"/>
    <w:rsid w:val="00B03ED0"/>
    <w:rsid w:val="00B04C75"/>
    <w:rsid w:val="00B06F23"/>
    <w:rsid w:val="00B100B1"/>
    <w:rsid w:val="00B102A6"/>
    <w:rsid w:val="00B1047D"/>
    <w:rsid w:val="00B106AE"/>
    <w:rsid w:val="00B10BDE"/>
    <w:rsid w:val="00B1101C"/>
    <w:rsid w:val="00B11DF9"/>
    <w:rsid w:val="00B125A5"/>
    <w:rsid w:val="00B139AF"/>
    <w:rsid w:val="00B15878"/>
    <w:rsid w:val="00B1613D"/>
    <w:rsid w:val="00B17B0B"/>
    <w:rsid w:val="00B200D0"/>
    <w:rsid w:val="00B21DAE"/>
    <w:rsid w:val="00B22B99"/>
    <w:rsid w:val="00B23141"/>
    <w:rsid w:val="00B231D7"/>
    <w:rsid w:val="00B23FFA"/>
    <w:rsid w:val="00B246C5"/>
    <w:rsid w:val="00B248E4"/>
    <w:rsid w:val="00B24F43"/>
    <w:rsid w:val="00B25415"/>
    <w:rsid w:val="00B26C04"/>
    <w:rsid w:val="00B27218"/>
    <w:rsid w:val="00B3110E"/>
    <w:rsid w:val="00B3207D"/>
    <w:rsid w:val="00B34415"/>
    <w:rsid w:val="00B3493E"/>
    <w:rsid w:val="00B3497B"/>
    <w:rsid w:val="00B354D5"/>
    <w:rsid w:val="00B357C4"/>
    <w:rsid w:val="00B35BB8"/>
    <w:rsid w:val="00B36ACA"/>
    <w:rsid w:val="00B36FE7"/>
    <w:rsid w:val="00B37160"/>
    <w:rsid w:val="00B40687"/>
    <w:rsid w:val="00B40A1B"/>
    <w:rsid w:val="00B41272"/>
    <w:rsid w:val="00B41B80"/>
    <w:rsid w:val="00B4292E"/>
    <w:rsid w:val="00B42E39"/>
    <w:rsid w:val="00B439FF"/>
    <w:rsid w:val="00B43D0F"/>
    <w:rsid w:val="00B44FC5"/>
    <w:rsid w:val="00B473F6"/>
    <w:rsid w:val="00B47979"/>
    <w:rsid w:val="00B5008A"/>
    <w:rsid w:val="00B506D7"/>
    <w:rsid w:val="00B50DDE"/>
    <w:rsid w:val="00B515B5"/>
    <w:rsid w:val="00B52922"/>
    <w:rsid w:val="00B52CED"/>
    <w:rsid w:val="00B53AE5"/>
    <w:rsid w:val="00B53BE6"/>
    <w:rsid w:val="00B53C2A"/>
    <w:rsid w:val="00B54111"/>
    <w:rsid w:val="00B54293"/>
    <w:rsid w:val="00B549B1"/>
    <w:rsid w:val="00B55AF3"/>
    <w:rsid w:val="00B5606A"/>
    <w:rsid w:val="00B602CB"/>
    <w:rsid w:val="00B60774"/>
    <w:rsid w:val="00B60B99"/>
    <w:rsid w:val="00B63349"/>
    <w:rsid w:val="00B6356B"/>
    <w:rsid w:val="00B63C49"/>
    <w:rsid w:val="00B645E6"/>
    <w:rsid w:val="00B649B3"/>
    <w:rsid w:val="00B64DD3"/>
    <w:rsid w:val="00B65A34"/>
    <w:rsid w:val="00B70938"/>
    <w:rsid w:val="00B7194A"/>
    <w:rsid w:val="00B733A9"/>
    <w:rsid w:val="00B74AF8"/>
    <w:rsid w:val="00B769A5"/>
    <w:rsid w:val="00B76F35"/>
    <w:rsid w:val="00B770E1"/>
    <w:rsid w:val="00B77111"/>
    <w:rsid w:val="00B77610"/>
    <w:rsid w:val="00B80410"/>
    <w:rsid w:val="00B814D7"/>
    <w:rsid w:val="00B818A0"/>
    <w:rsid w:val="00B81DF3"/>
    <w:rsid w:val="00B82138"/>
    <w:rsid w:val="00B82219"/>
    <w:rsid w:val="00B83ADE"/>
    <w:rsid w:val="00B849AF"/>
    <w:rsid w:val="00B850ED"/>
    <w:rsid w:val="00B86116"/>
    <w:rsid w:val="00B86609"/>
    <w:rsid w:val="00B86F45"/>
    <w:rsid w:val="00B92AA1"/>
    <w:rsid w:val="00B92F6A"/>
    <w:rsid w:val="00B9305E"/>
    <w:rsid w:val="00B93E51"/>
    <w:rsid w:val="00B95451"/>
    <w:rsid w:val="00B95837"/>
    <w:rsid w:val="00B96344"/>
    <w:rsid w:val="00B9687C"/>
    <w:rsid w:val="00B97883"/>
    <w:rsid w:val="00B97D6E"/>
    <w:rsid w:val="00BA0C0E"/>
    <w:rsid w:val="00BA1686"/>
    <w:rsid w:val="00BA1A38"/>
    <w:rsid w:val="00BA2DAB"/>
    <w:rsid w:val="00BA2E9F"/>
    <w:rsid w:val="00BA3EB5"/>
    <w:rsid w:val="00BA4100"/>
    <w:rsid w:val="00BA45B4"/>
    <w:rsid w:val="00BA5705"/>
    <w:rsid w:val="00BA634B"/>
    <w:rsid w:val="00BA6F8C"/>
    <w:rsid w:val="00BA7048"/>
    <w:rsid w:val="00BA7C58"/>
    <w:rsid w:val="00BA7E7C"/>
    <w:rsid w:val="00BA7FCB"/>
    <w:rsid w:val="00BB0358"/>
    <w:rsid w:val="00BB19C7"/>
    <w:rsid w:val="00BB24DA"/>
    <w:rsid w:val="00BB3423"/>
    <w:rsid w:val="00BB3472"/>
    <w:rsid w:val="00BB392C"/>
    <w:rsid w:val="00BB67DE"/>
    <w:rsid w:val="00BB75B2"/>
    <w:rsid w:val="00BB7800"/>
    <w:rsid w:val="00BC1437"/>
    <w:rsid w:val="00BC1EBF"/>
    <w:rsid w:val="00BC3D17"/>
    <w:rsid w:val="00BC62D2"/>
    <w:rsid w:val="00BC7098"/>
    <w:rsid w:val="00BD1939"/>
    <w:rsid w:val="00BD1C10"/>
    <w:rsid w:val="00BD2A13"/>
    <w:rsid w:val="00BD2B49"/>
    <w:rsid w:val="00BD2FEC"/>
    <w:rsid w:val="00BD4AD7"/>
    <w:rsid w:val="00BD5B49"/>
    <w:rsid w:val="00BD5B71"/>
    <w:rsid w:val="00BD5BB8"/>
    <w:rsid w:val="00BD71F9"/>
    <w:rsid w:val="00BE359D"/>
    <w:rsid w:val="00BE4408"/>
    <w:rsid w:val="00BE6532"/>
    <w:rsid w:val="00BE70FE"/>
    <w:rsid w:val="00BF0C1C"/>
    <w:rsid w:val="00BF0EB5"/>
    <w:rsid w:val="00BF2D41"/>
    <w:rsid w:val="00BF37F6"/>
    <w:rsid w:val="00BF3808"/>
    <w:rsid w:val="00BF3B3C"/>
    <w:rsid w:val="00BF3EDB"/>
    <w:rsid w:val="00BF456F"/>
    <w:rsid w:val="00BF4D67"/>
    <w:rsid w:val="00BF73B1"/>
    <w:rsid w:val="00BF7F17"/>
    <w:rsid w:val="00C00CFD"/>
    <w:rsid w:val="00C00DA9"/>
    <w:rsid w:val="00C02454"/>
    <w:rsid w:val="00C02E75"/>
    <w:rsid w:val="00C02FDF"/>
    <w:rsid w:val="00C04C25"/>
    <w:rsid w:val="00C0572C"/>
    <w:rsid w:val="00C05D29"/>
    <w:rsid w:val="00C06A62"/>
    <w:rsid w:val="00C12104"/>
    <w:rsid w:val="00C13099"/>
    <w:rsid w:val="00C14F97"/>
    <w:rsid w:val="00C1520B"/>
    <w:rsid w:val="00C16569"/>
    <w:rsid w:val="00C16F28"/>
    <w:rsid w:val="00C17467"/>
    <w:rsid w:val="00C17867"/>
    <w:rsid w:val="00C20536"/>
    <w:rsid w:val="00C20C9F"/>
    <w:rsid w:val="00C21DA9"/>
    <w:rsid w:val="00C22401"/>
    <w:rsid w:val="00C228BF"/>
    <w:rsid w:val="00C245A3"/>
    <w:rsid w:val="00C248EE"/>
    <w:rsid w:val="00C2589B"/>
    <w:rsid w:val="00C25D80"/>
    <w:rsid w:val="00C260F6"/>
    <w:rsid w:val="00C26EA1"/>
    <w:rsid w:val="00C26ECB"/>
    <w:rsid w:val="00C277F9"/>
    <w:rsid w:val="00C2782D"/>
    <w:rsid w:val="00C30F9E"/>
    <w:rsid w:val="00C3153C"/>
    <w:rsid w:val="00C31EA8"/>
    <w:rsid w:val="00C31F7E"/>
    <w:rsid w:val="00C330DC"/>
    <w:rsid w:val="00C33603"/>
    <w:rsid w:val="00C33C33"/>
    <w:rsid w:val="00C348DE"/>
    <w:rsid w:val="00C362AD"/>
    <w:rsid w:val="00C40BD1"/>
    <w:rsid w:val="00C42681"/>
    <w:rsid w:val="00C430B5"/>
    <w:rsid w:val="00C43961"/>
    <w:rsid w:val="00C43B25"/>
    <w:rsid w:val="00C45629"/>
    <w:rsid w:val="00C458CC"/>
    <w:rsid w:val="00C464A7"/>
    <w:rsid w:val="00C47736"/>
    <w:rsid w:val="00C47E2E"/>
    <w:rsid w:val="00C51481"/>
    <w:rsid w:val="00C5215A"/>
    <w:rsid w:val="00C534F7"/>
    <w:rsid w:val="00C53680"/>
    <w:rsid w:val="00C538E9"/>
    <w:rsid w:val="00C54287"/>
    <w:rsid w:val="00C55A6F"/>
    <w:rsid w:val="00C56101"/>
    <w:rsid w:val="00C56CC5"/>
    <w:rsid w:val="00C56FBE"/>
    <w:rsid w:val="00C600BD"/>
    <w:rsid w:val="00C616B3"/>
    <w:rsid w:val="00C61AD4"/>
    <w:rsid w:val="00C61D76"/>
    <w:rsid w:val="00C62242"/>
    <w:rsid w:val="00C63064"/>
    <w:rsid w:val="00C63E8E"/>
    <w:rsid w:val="00C64A5B"/>
    <w:rsid w:val="00C650BF"/>
    <w:rsid w:val="00C664BC"/>
    <w:rsid w:val="00C666B4"/>
    <w:rsid w:val="00C66839"/>
    <w:rsid w:val="00C67F6E"/>
    <w:rsid w:val="00C701D0"/>
    <w:rsid w:val="00C70588"/>
    <w:rsid w:val="00C7277F"/>
    <w:rsid w:val="00C73124"/>
    <w:rsid w:val="00C73958"/>
    <w:rsid w:val="00C7489B"/>
    <w:rsid w:val="00C74970"/>
    <w:rsid w:val="00C75701"/>
    <w:rsid w:val="00C75C37"/>
    <w:rsid w:val="00C75F45"/>
    <w:rsid w:val="00C778D9"/>
    <w:rsid w:val="00C779A1"/>
    <w:rsid w:val="00C806D7"/>
    <w:rsid w:val="00C81131"/>
    <w:rsid w:val="00C81158"/>
    <w:rsid w:val="00C833AE"/>
    <w:rsid w:val="00C84A2D"/>
    <w:rsid w:val="00C84BAC"/>
    <w:rsid w:val="00C84FE7"/>
    <w:rsid w:val="00C85EF7"/>
    <w:rsid w:val="00C8608A"/>
    <w:rsid w:val="00C866FC"/>
    <w:rsid w:val="00C86AD0"/>
    <w:rsid w:val="00C90E17"/>
    <w:rsid w:val="00C92F86"/>
    <w:rsid w:val="00C938E4"/>
    <w:rsid w:val="00C9511E"/>
    <w:rsid w:val="00C95284"/>
    <w:rsid w:val="00C95575"/>
    <w:rsid w:val="00C95642"/>
    <w:rsid w:val="00C95667"/>
    <w:rsid w:val="00C9736B"/>
    <w:rsid w:val="00C97C7D"/>
    <w:rsid w:val="00C97F2B"/>
    <w:rsid w:val="00CA0180"/>
    <w:rsid w:val="00CA01F1"/>
    <w:rsid w:val="00CA042E"/>
    <w:rsid w:val="00CA1689"/>
    <w:rsid w:val="00CA216D"/>
    <w:rsid w:val="00CA219F"/>
    <w:rsid w:val="00CA22F0"/>
    <w:rsid w:val="00CA4CFB"/>
    <w:rsid w:val="00CA4E37"/>
    <w:rsid w:val="00CA4EB6"/>
    <w:rsid w:val="00CA551A"/>
    <w:rsid w:val="00CA5974"/>
    <w:rsid w:val="00CA5A6B"/>
    <w:rsid w:val="00CA5D34"/>
    <w:rsid w:val="00CA6B23"/>
    <w:rsid w:val="00CB1DC2"/>
    <w:rsid w:val="00CB3952"/>
    <w:rsid w:val="00CB3F6A"/>
    <w:rsid w:val="00CB57B2"/>
    <w:rsid w:val="00CC0B63"/>
    <w:rsid w:val="00CC18C7"/>
    <w:rsid w:val="00CC28E5"/>
    <w:rsid w:val="00CC596D"/>
    <w:rsid w:val="00CC74F6"/>
    <w:rsid w:val="00CD0018"/>
    <w:rsid w:val="00CD1202"/>
    <w:rsid w:val="00CD2CFD"/>
    <w:rsid w:val="00CD3977"/>
    <w:rsid w:val="00CD39F0"/>
    <w:rsid w:val="00CD44B6"/>
    <w:rsid w:val="00CD49E9"/>
    <w:rsid w:val="00CD4D72"/>
    <w:rsid w:val="00CD6305"/>
    <w:rsid w:val="00CD7C2A"/>
    <w:rsid w:val="00CE030B"/>
    <w:rsid w:val="00CE127E"/>
    <w:rsid w:val="00CE261E"/>
    <w:rsid w:val="00CE4CD6"/>
    <w:rsid w:val="00CE5276"/>
    <w:rsid w:val="00CE7342"/>
    <w:rsid w:val="00CE768C"/>
    <w:rsid w:val="00CE773E"/>
    <w:rsid w:val="00CF0D9F"/>
    <w:rsid w:val="00CF19CB"/>
    <w:rsid w:val="00CF20E5"/>
    <w:rsid w:val="00CF2618"/>
    <w:rsid w:val="00CF295D"/>
    <w:rsid w:val="00CF2D63"/>
    <w:rsid w:val="00CF6651"/>
    <w:rsid w:val="00CF73CC"/>
    <w:rsid w:val="00CF7D71"/>
    <w:rsid w:val="00D0055F"/>
    <w:rsid w:val="00D01390"/>
    <w:rsid w:val="00D025C9"/>
    <w:rsid w:val="00D03549"/>
    <w:rsid w:val="00D062B7"/>
    <w:rsid w:val="00D0643E"/>
    <w:rsid w:val="00D06532"/>
    <w:rsid w:val="00D06B47"/>
    <w:rsid w:val="00D07512"/>
    <w:rsid w:val="00D07A67"/>
    <w:rsid w:val="00D07ADF"/>
    <w:rsid w:val="00D107C7"/>
    <w:rsid w:val="00D10A1B"/>
    <w:rsid w:val="00D11869"/>
    <w:rsid w:val="00D12D14"/>
    <w:rsid w:val="00D141E1"/>
    <w:rsid w:val="00D14323"/>
    <w:rsid w:val="00D14589"/>
    <w:rsid w:val="00D14DA4"/>
    <w:rsid w:val="00D15888"/>
    <w:rsid w:val="00D15E06"/>
    <w:rsid w:val="00D16BB9"/>
    <w:rsid w:val="00D16BF4"/>
    <w:rsid w:val="00D16FFD"/>
    <w:rsid w:val="00D20DF0"/>
    <w:rsid w:val="00D20E15"/>
    <w:rsid w:val="00D21374"/>
    <w:rsid w:val="00D219B8"/>
    <w:rsid w:val="00D24CF8"/>
    <w:rsid w:val="00D2559E"/>
    <w:rsid w:val="00D2576A"/>
    <w:rsid w:val="00D307D1"/>
    <w:rsid w:val="00D30A9E"/>
    <w:rsid w:val="00D33B89"/>
    <w:rsid w:val="00D4021B"/>
    <w:rsid w:val="00D40DE2"/>
    <w:rsid w:val="00D41940"/>
    <w:rsid w:val="00D43267"/>
    <w:rsid w:val="00D43F6C"/>
    <w:rsid w:val="00D452F0"/>
    <w:rsid w:val="00D4636F"/>
    <w:rsid w:val="00D46778"/>
    <w:rsid w:val="00D50519"/>
    <w:rsid w:val="00D50B57"/>
    <w:rsid w:val="00D50BD4"/>
    <w:rsid w:val="00D534D1"/>
    <w:rsid w:val="00D548F3"/>
    <w:rsid w:val="00D549BC"/>
    <w:rsid w:val="00D55ADC"/>
    <w:rsid w:val="00D55E13"/>
    <w:rsid w:val="00D564D8"/>
    <w:rsid w:val="00D60597"/>
    <w:rsid w:val="00D606FA"/>
    <w:rsid w:val="00D64D46"/>
    <w:rsid w:val="00D657B7"/>
    <w:rsid w:val="00D71848"/>
    <w:rsid w:val="00D7670C"/>
    <w:rsid w:val="00D76E15"/>
    <w:rsid w:val="00D8016D"/>
    <w:rsid w:val="00D814B4"/>
    <w:rsid w:val="00D84018"/>
    <w:rsid w:val="00D840B5"/>
    <w:rsid w:val="00D85DCE"/>
    <w:rsid w:val="00D860A3"/>
    <w:rsid w:val="00D87C3F"/>
    <w:rsid w:val="00D9090E"/>
    <w:rsid w:val="00D91165"/>
    <w:rsid w:val="00D9119C"/>
    <w:rsid w:val="00D911F4"/>
    <w:rsid w:val="00D938CC"/>
    <w:rsid w:val="00D94103"/>
    <w:rsid w:val="00D944ED"/>
    <w:rsid w:val="00D9550D"/>
    <w:rsid w:val="00D96BC4"/>
    <w:rsid w:val="00DA17E8"/>
    <w:rsid w:val="00DA25C5"/>
    <w:rsid w:val="00DA318A"/>
    <w:rsid w:val="00DA51C9"/>
    <w:rsid w:val="00DA6C29"/>
    <w:rsid w:val="00DA6DCC"/>
    <w:rsid w:val="00DA757D"/>
    <w:rsid w:val="00DA782C"/>
    <w:rsid w:val="00DB11EA"/>
    <w:rsid w:val="00DB1407"/>
    <w:rsid w:val="00DB1DD4"/>
    <w:rsid w:val="00DB1FC8"/>
    <w:rsid w:val="00DB28CB"/>
    <w:rsid w:val="00DB440E"/>
    <w:rsid w:val="00DB4E6B"/>
    <w:rsid w:val="00DB5107"/>
    <w:rsid w:val="00DB534B"/>
    <w:rsid w:val="00DB6317"/>
    <w:rsid w:val="00DB68E7"/>
    <w:rsid w:val="00DB7036"/>
    <w:rsid w:val="00DB7E73"/>
    <w:rsid w:val="00DB7E76"/>
    <w:rsid w:val="00DC12C8"/>
    <w:rsid w:val="00DC1695"/>
    <w:rsid w:val="00DC3C23"/>
    <w:rsid w:val="00DC3FB8"/>
    <w:rsid w:val="00DC457B"/>
    <w:rsid w:val="00DC4BF5"/>
    <w:rsid w:val="00DC5623"/>
    <w:rsid w:val="00DC5778"/>
    <w:rsid w:val="00DC6763"/>
    <w:rsid w:val="00DC68CB"/>
    <w:rsid w:val="00DD0A46"/>
    <w:rsid w:val="00DD2113"/>
    <w:rsid w:val="00DD2567"/>
    <w:rsid w:val="00DD3149"/>
    <w:rsid w:val="00DD3E36"/>
    <w:rsid w:val="00DD4D3E"/>
    <w:rsid w:val="00DD6280"/>
    <w:rsid w:val="00DD74C6"/>
    <w:rsid w:val="00DD7764"/>
    <w:rsid w:val="00DE0681"/>
    <w:rsid w:val="00DE318B"/>
    <w:rsid w:val="00DE3625"/>
    <w:rsid w:val="00DE4131"/>
    <w:rsid w:val="00DE4306"/>
    <w:rsid w:val="00DE4C89"/>
    <w:rsid w:val="00DE529A"/>
    <w:rsid w:val="00DE55E1"/>
    <w:rsid w:val="00DE564B"/>
    <w:rsid w:val="00DE6B0E"/>
    <w:rsid w:val="00DF0D7A"/>
    <w:rsid w:val="00DF15D1"/>
    <w:rsid w:val="00DF1E74"/>
    <w:rsid w:val="00DF2121"/>
    <w:rsid w:val="00DF243C"/>
    <w:rsid w:val="00DF36D2"/>
    <w:rsid w:val="00DF3E0F"/>
    <w:rsid w:val="00DF4725"/>
    <w:rsid w:val="00DF4BEC"/>
    <w:rsid w:val="00DF4C19"/>
    <w:rsid w:val="00DF6298"/>
    <w:rsid w:val="00E02C8F"/>
    <w:rsid w:val="00E036D7"/>
    <w:rsid w:val="00E05C2D"/>
    <w:rsid w:val="00E0611F"/>
    <w:rsid w:val="00E06EAB"/>
    <w:rsid w:val="00E07DD5"/>
    <w:rsid w:val="00E10764"/>
    <w:rsid w:val="00E1291B"/>
    <w:rsid w:val="00E12E7B"/>
    <w:rsid w:val="00E12F1E"/>
    <w:rsid w:val="00E14668"/>
    <w:rsid w:val="00E14DD5"/>
    <w:rsid w:val="00E1546D"/>
    <w:rsid w:val="00E21EDB"/>
    <w:rsid w:val="00E22101"/>
    <w:rsid w:val="00E235DD"/>
    <w:rsid w:val="00E242E2"/>
    <w:rsid w:val="00E251DF"/>
    <w:rsid w:val="00E25B6F"/>
    <w:rsid w:val="00E25CD0"/>
    <w:rsid w:val="00E263ED"/>
    <w:rsid w:val="00E265FA"/>
    <w:rsid w:val="00E26E23"/>
    <w:rsid w:val="00E30B66"/>
    <w:rsid w:val="00E30D58"/>
    <w:rsid w:val="00E314DD"/>
    <w:rsid w:val="00E31BB6"/>
    <w:rsid w:val="00E337B1"/>
    <w:rsid w:val="00E34E78"/>
    <w:rsid w:val="00E3553C"/>
    <w:rsid w:val="00E364F9"/>
    <w:rsid w:val="00E36A5C"/>
    <w:rsid w:val="00E36F4E"/>
    <w:rsid w:val="00E37DF3"/>
    <w:rsid w:val="00E37FB9"/>
    <w:rsid w:val="00E408CB"/>
    <w:rsid w:val="00E40FFE"/>
    <w:rsid w:val="00E41C2B"/>
    <w:rsid w:val="00E43EBF"/>
    <w:rsid w:val="00E4407C"/>
    <w:rsid w:val="00E446EA"/>
    <w:rsid w:val="00E447CB"/>
    <w:rsid w:val="00E4567D"/>
    <w:rsid w:val="00E45CD9"/>
    <w:rsid w:val="00E46D55"/>
    <w:rsid w:val="00E47D78"/>
    <w:rsid w:val="00E50920"/>
    <w:rsid w:val="00E50CE2"/>
    <w:rsid w:val="00E51DC8"/>
    <w:rsid w:val="00E52FB0"/>
    <w:rsid w:val="00E5355C"/>
    <w:rsid w:val="00E53FED"/>
    <w:rsid w:val="00E548C4"/>
    <w:rsid w:val="00E5719A"/>
    <w:rsid w:val="00E575AC"/>
    <w:rsid w:val="00E60315"/>
    <w:rsid w:val="00E6033B"/>
    <w:rsid w:val="00E604BA"/>
    <w:rsid w:val="00E612C5"/>
    <w:rsid w:val="00E619BD"/>
    <w:rsid w:val="00E61BAC"/>
    <w:rsid w:val="00E624FF"/>
    <w:rsid w:val="00E634F4"/>
    <w:rsid w:val="00E666CB"/>
    <w:rsid w:val="00E66DEA"/>
    <w:rsid w:val="00E67031"/>
    <w:rsid w:val="00E67313"/>
    <w:rsid w:val="00E6756B"/>
    <w:rsid w:val="00E67681"/>
    <w:rsid w:val="00E67B75"/>
    <w:rsid w:val="00E700F7"/>
    <w:rsid w:val="00E709C4"/>
    <w:rsid w:val="00E72DCF"/>
    <w:rsid w:val="00E76334"/>
    <w:rsid w:val="00E76C87"/>
    <w:rsid w:val="00E76E61"/>
    <w:rsid w:val="00E77F57"/>
    <w:rsid w:val="00E77F9E"/>
    <w:rsid w:val="00E80A83"/>
    <w:rsid w:val="00E81F21"/>
    <w:rsid w:val="00E8234A"/>
    <w:rsid w:val="00E82370"/>
    <w:rsid w:val="00E82BD1"/>
    <w:rsid w:val="00E8384B"/>
    <w:rsid w:val="00E838DA"/>
    <w:rsid w:val="00E8423E"/>
    <w:rsid w:val="00E84694"/>
    <w:rsid w:val="00E864AD"/>
    <w:rsid w:val="00E86AAB"/>
    <w:rsid w:val="00E90298"/>
    <w:rsid w:val="00E90F7C"/>
    <w:rsid w:val="00E91B18"/>
    <w:rsid w:val="00E9301E"/>
    <w:rsid w:val="00E93E4E"/>
    <w:rsid w:val="00E94858"/>
    <w:rsid w:val="00E94967"/>
    <w:rsid w:val="00E97ECF"/>
    <w:rsid w:val="00EA0ED6"/>
    <w:rsid w:val="00EA2923"/>
    <w:rsid w:val="00EA2D2D"/>
    <w:rsid w:val="00EA3295"/>
    <w:rsid w:val="00EA4388"/>
    <w:rsid w:val="00EA6D46"/>
    <w:rsid w:val="00EA7859"/>
    <w:rsid w:val="00EB18FE"/>
    <w:rsid w:val="00EB1E6E"/>
    <w:rsid w:val="00EB26DF"/>
    <w:rsid w:val="00EB2BD2"/>
    <w:rsid w:val="00EB3583"/>
    <w:rsid w:val="00EB669A"/>
    <w:rsid w:val="00EB66AA"/>
    <w:rsid w:val="00EB7BE9"/>
    <w:rsid w:val="00EB7D83"/>
    <w:rsid w:val="00EC0BC6"/>
    <w:rsid w:val="00EC2E6E"/>
    <w:rsid w:val="00EC3148"/>
    <w:rsid w:val="00EC3975"/>
    <w:rsid w:val="00EC5581"/>
    <w:rsid w:val="00EC60FA"/>
    <w:rsid w:val="00EC71A8"/>
    <w:rsid w:val="00EC77CC"/>
    <w:rsid w:val="00ED11E7"/>
    <w:rsid w:val="00ED1C00"/>
    <w:rsid w:val="00ED31CE"/>
    <w:rsid w:val="00ED3649"/>
    <w:rsid w:val="00ED4EDB"/>
    <w:rsid w:val="00ED5891"/>
    <w:rsid w:val="00ED58C4"/>
    <w:rsid w:val="00ED5B23"/>
    <w:rsid w:val="00ED6196"/>
    <w:rsid w:val="00ED637D"/>
    <w:rsid w:val="00ED7AC2"/>
    <w:rsid w:val="00EE12F1"/>
    <w:rsid w:val="00EE15CE"/>
    <w:rsid w:val="00EE16F6"/>
    <w:rsid w:val="00EE2316"/>
    <w:rsid w:val="00EE24A1"/>
    <w:rsid w:val="00EE25BB"/>
    <w:rsid w:val="00EE2751"/>
    <w:rsid w:val="00EE3B44"/>
    <w:rsid w:val="00EE3BDE"/>
    <w:rsid w:val="00EE6865"/>
    <w:rsid w:val="00EE6DFA"/>
    <w:rsid w:val="00EE6FB6"/>
    <w:rsid w:val="00EE75E9"/>
    <w:rsid w:val="00EF0B96"/>
    <w:rsid w:val="00EF0E60"/>
    <w:rsid w:val="00EF11DD"/>
    <w:rsid w:val="00EF253F"/>
    <w:rsid w:val="00EF2F06"/>
    <w:rsid w:val="00EF2FF1"/>
    <w:rsid w:val="00EF36B6"/>
    <w:rsid w:val="00EF3F6C"/>
    <w:rsid w:val="00EF4545"/>
    <w:rsid w:val="00EF4951"/>
    <w:rsid w:val="00EF4B14"/>
    <w:rsid w:val="00EF507B"/>
    <w:rsid w:val="00EF50C4"/>
    <w:rsid w:val="00EF5530"/>
    <w:rsid w:val="00EF5759"/>
    <w:rsid w:val="00EF602F"/>
    <w:rsid w:val="00EF6604"/>
    <w:rsid w:val="00EF6E82"/>
    <w:rsid w:val="00EF77A3"/>
    <w:rsid w:val="00F00476"/>
    <w:rsid w:val="00F00605"/>
    <w:rsid w:val="00F0089E"/>
    <w:rsid w:val="00F008A0"/>
    <w:rsid w:val="00F0222F"/>
    <w:rsid w:val="00F02242"/>
    <w:rsid w:val="00F02605"/>
    <w:rsid w:val="00F0423C"/>
    <w:rsid w:val="00F0476E"/>
    <w:rsid w:val="00F07101"/>
    <w:rsid w:val="00F07C8A"/>
    <w:rsid w:val="00F07D01"/>
    <w:rsid w:val="00F11424"/>
    <w:rsid w:val="00F15518"/>
    <w:rsid w:val="00F17A93"/>
    <w:rsid w:val="00F205D0"/>
    <w:rsid w:val="00F23DDA"/>
    <w:rsid w:val="00F245E0"/>
    <w:rsid w:val="00F2541D"/>
    <w:rsid w:val="00F259AA"/>
    <w:rsid w:val="00F26A56"/>
    <w:rsid w:val="00F26D4D"/>
    <w:rsid w:val="00F26F42"/>
    <w:rsid w:val="00F27762"/>
    <w:rsid w:val="00F30266"/>
    <w:rsid w:val="00F30558"/>
    <w:rsid w:val="00F30FC9"/>
    <w:rsid w:val="00F310C6"/>
    <w:rsid w:val="00F317D4"/>
    <w:rsid w:val="00F318D5"/>
    <w:rsid w:val="00F3350E"/>
    <w:rsid w:val="00F35421"/>
    <w:rsid w:val="00F3577C"/>
    <w:rsid w:val="00F367E0"/>
    <w:rsid w:val="00F4024D"/>
    <w:rsid w:val="00F40576"/>
    <w:rsid w:val="00F427DB"/>
    <w:rsid w:val="00F43ABE"/>
    <w:rsid w:val="00F45237"/>
    <w:rsid w:val="00F45626"/>
    <w:rsid w:val="00F45E58"/>
    <w:rsid w:val="00F51438"/>
    <w:rsid w:val="00F51814"/>
    <w:rsid w:val="00F522C3"/>
    <w:rsid w:val="00F52CF6"/>
    <w:rsid w:val="00F52E27"/>
    <w:rsid w:val="00F53060"/>
    <w:rsid w:val="00F54082"/>
    <w:rsid w:val="00F548C5"/>
    <w:rsid w:val="00F54A64"/>
    <w:rsid w:val="00F56A96"/>
    <w:rsid w:val="00F56C1B"/>
    <w:rsid w:val="00F57E13"/>
    <w:rsid w:val="00F602AA"/>
    <w:rsid w:val="00F602D1"/>
    <w:rsid w:val="00F6042A"/>
    <w:rsid w:val="00F62D08"/>
    <w:rsid w:val="00F648CF"/>
    <w:rsid w:val="00F65136"/>
    <w:rsid w:val="00F66FCF"/>
    <w:rsid w:val="00F67D6E"/>
    <w:rsid w:val="00F67DE4"/>
    <w:rsid w:val="00F70E1A"/>
    <w:rsid w:val="00F738EC"/>
    <w:rsid w:val="00F742C9"/>
    <w:rsid w:val="00F75655"/>
    <w:rsid w:val="00F76630"/>
    <w:rsid w:val="00F76C78"/>
    <w:rsid w:val="00F77DAA"/>
    <w:rsid w:val="00F80469"/>
    <w:rsid w:val="00F808B9"/>
    <w:rsid w:val="00F80917"/>
    <w:rsid w:val="00F818B6"/>
    <w:rsid w:val="00F820B3"/>
    <w:rsid w:val="00F82B8C"/>
    <w:rsid w:val="00F82C91"/>
    <w:rsid w:val="00F83F2D"/>
    <w:rsid w:val="00F849AD"/>
    <w:rsid w:val="00F86788"/>
    <w:rsid w:val="00F87D3C"/>
    <w:rsid w:val="00F9324D"/>
    <w:rsid w:val="00F94A67"/>
    <w:rsid w:val="00F95F82"/>
    <w:rsid w:val="00F960B1"/>
    <w:rsid w:val="00F97390"/>
    <w:rsid w:val="00F97D7A"/>
    <w:rsid w:val="00FA14A1"/>
    <w:rsid w:val="00FA17FC"/>
    <w:rsid w:val="00FA2756"/>
    <w:rsid w:val="00FA2A70"/>
    <w:rsid w:val="00FA471B"/>
    <w:rsid w:val="00FA4E44"/>
    <w:rsid w:val="00FA53DC"/>
    <w:rsid w:val="00FA53E4"/>
    <w:rsid w:val="00FA68D0"/>
    <w:rsid w:val="00FA6D57"/>
    <w:rsid w:val="00FA7025"/>
    <w:rsid w:val="00FB068A"/>
    <w:rsid w:val="00FB0D5F"/>
    <w:rsid w:val="00FB12F0"/>
    <w:rsid w:val="00FB161E"/>
    <w:rsid w:val="00FB1AB1"/>
    <w:rsid w:val="00FB1F0E"/>
    <w:rsid w:val="00FB3EAE"/>
    <w:rsid w:val="00FB5185"/>
    <w:rsid w:val="00FB611C"/>
    <w:rsid w:val="00FB6514"/>
    <w:rsid w:val="00FC02CC"/>
    <w:rsid w:val="00FC198F"/>
    <w:rsid w:val="00FC2891"/>
    <w:rsid w:val="00FC6E36"/>
    <w:rsid w:val="00FC70EB"/>
    <w:rsid w:val="00FC76D7"/>
    <w:rsid w:val="00FD0BA5"/>
    <w:rsid w:val="00FD0E52"/>
    <w:rsid w:val="00FD1831"/>
    <w:rsid w:val="00FD5AF0"/>
    <w:rsid w:val="00FD6007"/>
    <w:rsid w:val="00FD710D"/>
    <w:rsid w:val="00FD7DDC"/>
    <w:rsid w:val="00FE15D2"/>
    <w:rsid w:val="00FE1AB4"/>
    <w:rsid w:val="00FE3B28"/>
    <w:rsid w:val="00FE4235"/>
    <w:rsid w:val="00FE572E"/>
    <w:rsid w:val="00FE5FD7"/>
    <w:rsid w:val="00FE7941"/>
    <w:rsid w:val="00FF017F"/>
    <w:rsid w:val="00FF054A"/>
    <w:rsid w:val="00FF23DD"/>
    <w:rsid w:val="00FF3C42"/>
    <w:rsid w:val="00FF45D9"/>
    <w:rsid w:val="00FF710E"/>
    <w:rsid w:val="00FF7849"/>
    <w:rsid w:val="00FF7C9B"/>
    <w:rsid w:val="124EEF9D"/>
    <w:rsid w:val="20B11AD1"/>
    <w:rsid w:val="2143AB4E"/>
    <w:rsid w:val="274AE864"/>
    <w:rsid w:val="341AC9E5"/>
    <w:rsid w:val="37355BC7"/>
    <w:rsid w:val="3DEE1235"/>
    <w:rsid w:val="4086D67A"/>
    <w:rsid w:val="44855533"/>
    <w:rsid w:val="4B7AC9C9"/>
    <w:rsid w:val="4C3E3456"/>
    <w:rsid w:val="62EAA3BE"/>
    <w:rsid w:val="7E442B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C194"/>
  <w15:chartTrackingRefBased/>
  <w15:docId w15:val="{3C657C7A-770F-4E14-9FB7-02846CAF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640"/>
  </w:style>
  <w:style w:type="paragraph" w:styleId="Heading1">
    <w:name w:val="heading 1"/>
    <w:basedOn w:val="Normal"/>
    <w:next w:val="Normal"/>
    <w:link w:val="Heading1Char"/>
    <w:uiPriority w:val="9"/>
    <w:qFormat/>
    <w:rsid w:val="00475993"/>
    <w:pPr>
      <w:keepNext/>
      <w:keepLines/>
      <w:numPr>
        <w:numId w:val="2"/>
      </w:numPr>
      <w:shd w:val="clear" w:color="auto" w:fill="8EAADB" w:themeFill="accent1" w:themeFillTint="99"/>
      <w:spacing w:before="120" w:after="120"/>
      <w:outlineLvl w:val="0"/>
    </w:pPr>
    <w:rPr>
      <w:rFonts w:asciiTheme="majorHAnsi" w:eastAsiaTheme="majorEastAsia" w:hAnsiTheme="majorHAnsi" w:cstheme="majorBidi"/>
      <w:color w:val="FFFFFF" w:themeColor="background1"/>
      <w:sz w:val="32"/>
      <w:szCs w:val="32"/>
    </w:rPr>
  </w:style>
  <w:style w:type="paragraph" w:styleId="Heading2">
    <w:name w:val="heading 2"/>
    <w:basedOn w:val="Normal"/>
    <w:next w:val="Normal"/>
    <w:link w:val="Heading2Char"/>
    <w:uiPriority w:val="9"/>
    <w:unhideWhenUsed/>
    <w:qFormat/>
    <w:rsid w:val="009C0C53"/>
    <w:pPr>
      <w:keepNext/>
      <w:keepLines/>
      <w:spacing w:before="240" w:after="12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2F43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993"/>
    <w:rPr>
      <w:rFonts w:asciiTheme="majorHAnsi" w:eastAsiaTheme="majorEastAsia" w:hAnsiTheme="majorHAnsi" w:cstheme="majorBidi"/>
      <w:color w:val="FFFFFF" w:themeColor="background1"/>
      <w:sz w:val="32"/>
      <w:szCs w:val="32"/>
      <w:shd w:val="clear" w:color="auto" w:fill="8EAADB" w:themeFill="accent1" w:themeFillTint="99"/>
    </w:rPr>
  </w:style>
  <w:style w:type="character" w:customStyle="1" w:styleId="Heading2Char">
    <w:name w:val="Heading 2 Char"/>
    <w:basedOn w:val="DefaultParagraphFont"/>
    <w:link w:val="Heading2"/>
    <w:uiPriority w:val="9"/>
    <w:rsid w:val="009C0C53"/>
    <w:rPr>
      <w:rFonts w:asciiTheme="majorHAnsi" w:eastAsiaTheme="majorEastAsia" w:hAnsiTheme="majorHAnsi" w:cstheme="majorBidi"/>
      <w:color w:val="2F5496" w:themeColor="accent1" w:themeShade="BF"/>
      <w:sz w:val="28"/>
      <w:szCs w:val="26"/>
    </w:rPr>
  </w:style>
  <w:style w:type="paragraph" w:styleId="ListParagraph">
    <w:name w:val="List Paragraph"/>
    <w:aliases w:val="Subtitle Cover Page,List Paragraph (numbered (a)),References,WB List Paragraph,Dot pt,F5 List Paragraph,List Paragraph1,No Spacing1,List Paragraph Char Char Char,Indicator Text,Numbered Para 1,List Paragraph12,Bullet Points,3"/>
    <w:basedOn w:val="Normal"/>
    <w:link w:val="ListParagraphChar"/>
    <w:uiPriority w:val="34"/>
    <w:qFormat/>
    <w:rsid w:val="00ED637D"/>
    <w:pPr>
      <w:ind w:left="720"/>
      <w:contextualSpacing/>
    </w:pPr>
  </w:style>
  <w:style w:type="character" w:customStyle="1" w:styleId="Heading3Char">
    <w:name w:val="Heading 3 Char"/>
    <w:basedOn w:val="DefaultParagraphFont"/>
    <w:link w:val="Heading3"/>
    <w:uiPriority w:val="9"/>
    <w:rsid w:val="002F4339"/>
    <w:rPr>
      <w:rFonts w:asciiTheme="majorHAnsi" w:eastAsiaTheme="majorEastAsia" w:hAnsiTheme="majorHAnsi" w:cstheme="majorBidi"/>
      <w:color w:val="1F3763" w:themeColor="accent1" w:themeShade="7F"/>
      <w:sz w:val="24"/>
      <w:szCs w:val="24"/>
    </w:rPr>
  </w:style>
  <w:style w:type="table" w:styleId="TableGrid">
    <w:name w:val="Table Grid"/>
    <w:basedOn w:val="TableNormal"/>
    <w:rsid w:val="00BA7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DJEI_Footnote Text"/>
    <w:basedOn w:val="Normal"/>
    <w:link w:val="FootnoteTextChar"/>
    <w:uiPriority w:val="99"/>
    <w:unhideWhenUsed/>
    <w:rsid w:val="00544113"/>
    <w:pPr>
      <w:spacing w:after="0" w:line="240" w:lineRule="auto"/>
    </w:pPr>
    <w:rPr>
      <w:sz w:val="20"/>
      <w:szCs w:val="20"/>
    </w:rPr>
  </w:style>
  <w:style w:type="character" w:customStyle="1" w:styleId="FootnoteTextChar">
    <w:name w:val="Footnote Text Char"/>
    <w:aliases w:val="Schriftart: 9 pt Char,Schriftart: 10 pt Char,Schriftart: 8 pt Char,DJEI_Footnote Text Char"/>
    <w:basedOn w:val="DefaultParagraphFont"/>
    <w:link w:val="FootnoteText"/>
    <w:uiPriority w:val="99"/>
    <w:rsid w:val="00544113"/>
    <w:rPr>
      <w:sz w:val="20"/>
      <w:szCs w:val="20"/>
    </w:rPr>
  </w:style>
  <w:style w:type="character" w:styleId="FootnoteReference">
    <w:name w:val="footnote reference"/>
    <w:aliases w:val="DJEI_Footnote Reference"/>
    <w:basedOn w:val="DefaultParagraphFont"/>
    <w:uiPriority w:val="99"/>
    <w:unhideWhenUsed/>
    <w:rsid w:val="00544113"/>
    <w:rPr>
      <w:vertAlign w:val="superscript"/>
    </w:rPr>
  </w:style>
  <w:style w:type="character" w:styleId="Hyperlink">
    <w:name w:val="Hyperlink"/>
    <w:basedOn w:val="DefaultParagraphFont"/>
    <w:uiPriority w:val="99"/>
    <w:unhideWhenUsed/>
    <w:rsid w:val="00623817"/>
    <w:rPr>
      <w:color w:val="0563C1" w:themeColor="hyperlink"/>
      <w:u w:val="single"/>
    </w:rPr>
  </w:style>
  <w:style w:type="character" w:styleId="Mention">
    <w:name w:val="Mention"/>
    <w:basedOn w:val="DefaultParagraphFont"/>
    <w:uiPriority w:val="99"/>
    <w:semiHidden/>
    <w:unhideWhenUsed/>
    <w:rsid w:val="00623817"/>
    <w:rPr>
      <w:color w:val="2B579A"/>
      <w:shd w:val="clear" w:color="auto" w:fill="E6E6E6"/>
    </w:rPr>
  </w:style>
  <w:style w:type="paragraph" w:styleId="Header">
    <w:name w:val="header"/>
    <w:basedOn w:val="Normal"/>
    <w:link w:val="HeaderChar"/>
    <w:uiPriority w:val="99"/>
    <w:unhideWhenUsed/>
    <w:rsid w:val="00FA6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8D0"/>
  </w:style>
  <w:style w:type="paragraph" w:styleId="Footer">
    <w:name w:val="footer"/>
    <w:basedOn w:val="Normal"/>
    <w:link w:val="FooterChar"/>
    <w:uiPriority w:val="99"/>
    <w:unhideWhenUsed/>
    <w:rsid w:val="00FA6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8D0"/>
  </w:style>
  <w:style w:type="paragraph" w:styleId="BalloonText">
    <w:name w:val="Balloon Text"/>
    <w:basedOn w:val="Normal"/>
    <w:link w:val="BalloonTextChar"/>
    <w:uiPriority w:val="99"/>
    <w:semiHidden/>
    <w:unhideWhenUsed/>
    <w:rsid w:val="00650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CCF"/>
    <w:rPr>
      <w:rFonts w:ascii="Segoe UI" w:hAnsi="Segoe UI" w:cs="Segoe UI"/>
      <w:sz w:val="18"/>
      <w:szCs w:val="18"/>
    </w:rPr>
  </w:style>
  <w:style w:type="paragraph" w:customStyle="1" w:styleId="Default">
    <w:name w:val="Default"/>
    <w:rsid w:val="000F39AE"/>
    <w:pPr>
      <w:autoSpaceDE w:val="0"/>
      <w:autoSpaceDN w:val="0"/>
      <w:adjustRightInd w:val="0"/>
      <w:spacing w:after="0" w:line="240" w:lineRule="auto"/>
    </w:pPr>
    <w:rPr>
      <w:rFonts w:ascii="Corbel" w:hAnsi="Corbel" w:cs="Corbel"/>
      <w:color w:val="000000"/>
      <w:sz w:val="24"/>
      <w:szCs w:val="24"/>
    </w:rPr>
  </w:style>
  <w:style w:type="paragraph" w:styleId="BodyText2">
    <w:name w:val="Body Text 2"/>
    <w:basedOn w:val="Normal"/>
    <w:link w:val="BodyText2Char"/>
    <w:rsid w:val="00C02454"/>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02454"/>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C3FB8"/>
    <w:rPr>
      <w:color w:val="808080"/>
      <w:shd w:val="clear" w:color="auto" w:fill="E6E6E6"/>
    </w:rPr>
  </w:style>
  <w:style w:type="paragraph" w:styleId="NormalWeb">
    <w:name w:val="Normal (Web)"/>
    <w:basedOn w:val="Normal"/>
    <w:uiPriority w:val="99"/>
    <w:unhideWhenUsed/>
    <w:rsid w:val="00FD0BA5"/>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customStyle="1" w:styleId="HeadingTracy">
    <w:name w:val="Heading Tracy"/>
    <w:basedOn w:val="Normal"/>
    <w:link w:val="HeadingTracyChar"/>
    <w:qFormat/>
    <w:rsid w:val="005B2B13"/>
    <w:pPr>
      <w:spacing w:after="0" w:line="240" w:lineRule="auto"/>
    </w:pPr>
    <w:rPr>
      <w:rFonts w:eastAsia="Batang" w:cstheme="minorHAnsi"/>
      <w:color w:val="1F4E79" w:themeColor="accent5" w:themeShade="80"/>
      <w:sz w:val="28"/>
      <w:szCs w:val="28"/>
      <w:lang w:eastAsia="ko-KR"/>
    </w:rPr>
  </w:style>
  <w:style w:type="character" w:customStyle="1" w:styleId="HeadingTracyChar">
    <w:name w:val="Heading Tracy Char"/>
    <w:basedOn w:val="DefaultParagraphFont"/>
    <w:link w:val="HeadingTracy"/>
    <w:rsid w:val="005B2B13"/>
    <w:rPr>
      <w:rFonts w:eastAsia="Batang" w:cstheme="minorHAnsi"/>
      <w:color w:val="1F4E79" w:themeColor="accent5" w:themeShade="80"/>
      <w:sz w:val="28"/>
      <w:szCs w:val="28"/>
      <w:lang w:eastAsia="ko-KR"/>
    </w:rPr>
  </w:style>
  <w:style w:type="character" w:styleId="Strong">
    <w:name w:val="Strong"/>
    <w:basedOn w:val="DefaultParagraphFont"/>
    <w:uiPriority w:val="22"/>
    <w:qFormat/>
    <w:rsid w:val="00F960B1"/>
    <w:rPr>
      <w:b/>
      <w:bCs/>
    </w:rPr>
  </w:style>
  <w:style w:type="character" w:styleId="FollowedHyperlink">
    <w:name w:val="FollowedHyperlink"/>
    <w:basedOn w:val="DefaultParagraphFont"/>
    <w:uiPriority w:val="99"/>
    <w:semiHidden/>
    <w:unhideWhenUsed/>
    <w:rsid w:val="00F960B1"/>
    <w:rPr>
      <w:color w:val="954F72" w:themeColor="followedHyperlink"/>
      <w:u w:val="single"/>
    </w:rPr>
  </w:style>
  <w:style w:type="paragraph" w:customStyle="1" w:styleId="NumPar1">
    <w:name w:val="NumPar 1"/>
    <w:basedOn w:val="Normal"/>
    <w:next w:val="Normal"/>
    <w:rsid w:val="005F5E4F"/>
    <w:pPr>
      <w:numPr>
        <w:numId w:val="4"/>
      </w:numPr>
      <w:tabs>
        <w:tab w:val="num" w:pos="850"/>
      </w:tabs>
      <w:spacing w:before="120" w:after="120" w:line="240" w:lineRule="auto"/>
      <w:ind w:left="850" w:hanging="850"/>
      <w:jc w:val="both"/>
    </w:pPr>
    <w:rPr>
      <w:rFonts w:ascii="Times New Roman" w:eastAsia="Times New Roman" w:hAnsi="Times New Roman" w:cs="Times New Roman"/>
      <w:sz w:val="24"/>
      <w:szCs w:val="20"/>
      <w:lang w:val="en-GB" w:eastAsia="en-GB"/>
    </w:rPr>
  </w:style>
  <w:style w:type="paragraph" w:customStyle="1" w:styleId="Point1letter">
    <w:name w:val="Point 1 (letter)"/>
    <w:basedOn w:val="Normal"/>
    <w:rsid w:val="005F5E4F"/>
    <w:pPr>
      <w:numPr>
        <w:ilvl w:val="3"/>
        <w:numId w:val="5"/>
      </w:numPr>
      <w:tabs>
        <w:tab w:val="num" w:pos="1417"/>
      </w:tabs>
      <w:spacing w:before="120" w:after="120" w:line="240" w:lineRule="auto"/>
      <w:ind w:left="1417" w:hanging="567"/>
      <w:jc w:val="both"/>
    </w:pPr>
    <w:rPr>
      <w:rFonts w:ascii="Times New Roman" w:eastAsia="Times New Roman" w:hAnsi="Times New Roman" w:cs="Times New Roman"/>
      <w:sz w:val="24"/>
      <w:szCs w:val="20"/>
      <w:lang w:val="en-GB" w:eastAsia="en-GB"/>
    </w:rPr>
  </w:style>
  <w:style w:type="paragraph" w:styleId="PlainText">
    <w:name w:val="Plain Text"/>
    <w:basedOn w:val="Normal"/>
    <w:link w:val="PlainTextChar"/>
    <w:uiPriority w:val="99"/>
    <w:semiHidden/>
    <w:unhideWhenUsed/>
    <w:rsid w:val="001709E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709E0"/>
    <w:rPr>
      <w:rFonts w:ascii="Calibri" w:hAnsi="Calibri"/>
      <w:szCs w:val="21"/>
    </w:rPr>
  </w:style>
  <w:style w:type="paragraph" w:styleId="CommentText">
    <w:name w:val="annotation text"/>
    <w:basedOn w:val="Normal"/>
    <w:link w:val="CommentTextChar"/>
    <w:uiPriority w:val="99"/>
    <w:semiHidden/>
    <w:unhideWhenUsed/>
    <w:rsid w:val="00D15E06"/>
    <w:pPr>
      <w:spacing w:line="240" w:lineRule="auto"/>
    </w:pPr>
    <w:rPr>
      <w:sz w:val="20"/>
      <w:szCs w:val="20"/>
    </w:rPr>
  </w:style>
  <w:style w:type="character" w:customStyle="1" w:styleId="CommentTextChar">
    <w:name w:val="Comment Text Char"/>
    <w:basedOn w:val="DefaultParagraphFont"/>
    <w:link w:val="CommentText"/>
    <w:uiPriority w:val="99"/>
    <w:semiHidden/>
    <w:rsid w:val="00D15E06"/>
    <w:rPr>
      <w:sz w:val="20"/>
      <w:szCs w:val="20"/>
    </w:rPr>
  </w:style>
  <w:style w:type="character" w:styleId="CommentReference">
    <w:name w:val="annotation reference"/>
    <w:basedOn w:val="DefaultParagraphFont"/>
    <w:uiPriority w:val="99"/>
    <w:semiHidden/>
    <w:unhideWhenUsed/>
    <w:rsid w:val="003B60F4"/>
    <w:rPr>
      <w:sz w:val="16"/>
      <w:szCs w:val="16"/>
    </w:rPr>
  </w:style>
  <w:style w:type="paragraph" w:styleId="CommentSubject">
    <w:name w:val="annotation subject"/>
    <w:basedOn w:val="CommentText"/>
    <w:next w:val="CommentText"/>
    <w:link w:val="CommentSubjectChar"/>
    <w:uiPriority w:val="99"/>
    <w:semiHidden/>
    <w:unhideWhenUsed/>
    <w:rsid w:val="003B60F4"/>
    <w:rPr>
      <w:b/>
      <w:bCs/>
    </w:rPr>
  </w:style>
  <w:style w:type="character" w:customStyle="1" w:styleId="CommentSubjectChar">
    <w:name w:val="Comment Subject Char"/>
    <w:basedOn w:val="CommentTextChar"/>
    <w:link w:val="CommentSubject"/>
    <w:uiPriority w:val="99"/>
    <w:semiHidden/>
    <w:rsid w:val="003B60F4"/>
    <w:rPr>
      <w:b/>
      <w:bCs/>
      <w:sz w:val="20"/>
      <w:szCs w:val="20"/>
    </w:rPr>
  </w:style>
  <w:style w:type="paragraph" w:styleId="Revision">
    <w:name w:val="Revision"/>
    <w:hidden/>
    <w:uiPriority w:val="99"/>
    <w:semiHidden/>
    <w:rsid w:val="00801F99"/>
    <w:pPr>
      <w:spacing w:after="0" w:line="240" w:lineRule="auto"/>
    </w:pPr>
  </w:style>
  <w:style w:type="table" w:styleId="GridTable1Light-Accent1">
    <w:name w:val="Grid Table 1 Light Accent 1"/>
    <w:basedOn w:val="TableNormal"/>
    <w:uiPriority w:val="46"/>
    <w:rsid w:val="009C0C5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0">
    <w:name w:val="TableGrid"/>
    <w:rsid w:val="001275F6"/>
    <w:pPr>
      <w:spacing w:after="0" w:line="240" w:lineRule="auto"/>
    </w:pPr>
    <w:rPr>
      <w:rFonts w:eastAsiaTheme="minorEastAsia"/>
      <w:lang w:eastAsia="en-IE"/>
    </w:rPr>
    <w:tblPr>
      <w:tblCellMar>
        <w:top w:w="0" w:type="dxa"/>
        <w:left w:w="0" w:type="dxa"/>
        <w:bottom w:w="0" w:type="dxa"/>
        <w:right w:w="0" w:type="dxa"/>
      </w:tblCellMar>
    </w:tblPr>
  </w:style>
  <w:style w:type="table" w:customStyle="1" w:styleId="TableGrid1">
    <w:name w:val="Table Grid1"/>
    <w:basedOn w:val="TableNormal"/>
    <w:next w:val="TableGrid"/>
    <w:uiPriority w:val="39"/>
    <w:rsid w:val="00EB7D83"/>
    <w:pPr>
      <w:spacing w:after="0" w:line="240" w:lineRule="auto"/>
    </w:pPr>
    <w:rPr>
      <w:rFonts w:ascii="Calibri" w:eastAsia="Calibri" w:hAnsi="Calibri"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F70E1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70E1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next w:val="GridTable4-Accent5"/>
    <w:uiPriority w:val="49"/>
    <w:rsid w:val="00971CB9"/>
    <w:pPr>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1Light-Accent11">
    <w:name w:val="Grid Table 1 Light - Accent 11"/>
    <w:basedOn w:val="TableNormal"/>
    <w:next w:val="GridTable1Light-Accent1"/>
    <w:uiPriority w:val="46"/>
    <w:rsid w:val="00971CB9"/>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C31EA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ListParagraphChar">
    <w:name w:val="List Paragraph Char"/>
    <w:aliases w:val="Subtitle Cover Page Char,List Paragraph (numbered (a)) Char,References Char,WB List Paragraph Char,Dot pt Char,F5 List Paragraph Char,List Paragraph1 Char,No Spacing1 Char,List Paragraph Char Char Char Char,Indicator Text Char,3 Char"/>
    <w:link w:val="ListParagraph"/>
    <w:uiPriority w:val="34"/>
    <w:locked/>
    <w:rsid w:val="003C354E"/>
  </w:style>
  <w:style w:type="table" w:customStyle="1" w:styleId="TableGrid10">
    <w:name w:val="Table Grid10"/>
    <w:basedOn w:val="TableNormal"/>
    <w:next w:val="TableGrid"/>
    <w:uiPriority w:val="39"/>
    <w:rsid w:val="003C354E"/>
    <w:pPr>
      <w:spacing w:after="0" w:line="240" w:lineRule="auto"/>
    </w:pPr>
    <w:rPr>
      <w:rFonts w:ascii="Times New Roman" w:eastAsia="Batang"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84DE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84DE7"/>
  </w:style>
  <w:style w:type="character" w:customStyle="1" w:styleId="eop">
    <w:name w:val="eop"/>
    <w:basedOn w:val="DefaultParagraphFont"/>
    <w:rsid w:val="00884DE7"/>
  </w:style>
  <w:style w:type="paragraph" w:styleId="BodyText">
    <w:name w:val="Body Text"/>
    <w:basedOn w:val="Normal"/>
    <w:link w:val="BodyTextChar"/>
    <w:uiPriority w:val="99"/>
    <w:semiHidden/>
    <w:unhideWhenUsed/>
    <w:rsid w:val="00ED3649"/>
    <w:pPr>
      <w:spacing w:after="120"/>
    </w:pPr>
  </w:style>
  <w:style w:type="character" w:customStyle="1" w:styleId="BodyTextChar">
    <w:name w:val="Body Text Char"/>
    <w:basedOn w:val="DefaultParagraphFont"/>
    <w:link w:val="BodyText"/>
    <w:uiPriority w:val="99"/>
    <w:semiHidden/>
    <w:rsid w:val="00ED3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3157">
      <w:bodyDiv w:val="1"/>
      <w:marLeft w:val="0"/>
      <w:marRight w:val="0"/>
      <w:marTop w:val="0"/>
      <w:marBottom w:val="0"/>
      <w:divBdr>
        <w:top w:val="none" w:sz="0" w:space="0" w:color="auto"/>
        <w:left w:val="none" w:sz="0" w:space="0" w:color="auto"/>
        <w:bottom w:val="none" w:sz="0" w:space="0" w:color="auto"/>
        <w:right w:val="none" w:sz="0" w:space="0" w:color="auto"/>
      </w:divBdr>
    </w:div>
    <w:div w:id="31613190">
      <w:bodyDiv w:val="1"/>
      <w:marLeft w:val="0"/>
      <w:marRight w:val="0"/>
      <w:marTop w:val="0"/>
      <w:marBottom w:val="0"/>
      <w:divBdr>
        <w:top w:val="none" w:sz="0" w:space="0" w:color="auto"/>
        <w:left w:val="none" w:sz="0" w:space="0" w:color="auto"/>
        <w:bottom w:val="none" w:sz="0" w:space="0" w:color="auto"/>
        <w:right w:val="none" w:sz="0" w:space="0" w:color="auto"/>
      </w:divBdr>
    </w:div>
    <w:div w:id="36320407">
      <w:bodyDiv w:val="1"/>
      <w:marLeft w:val="0"/>
      <w:marRight w:val="0"/>
      <w:marTop w:val="0"/>
      <w:marBottom w:val="0"/>
      <w:divBdr>
        <w:top w:val="none" w:sz="0" w:space="0" w:color="auto"/>
        <w:left w:val="none" w:sz="0" w:space="0" w:color="auto"/>
        <w:bottom w:val="none" w:sz="0" w:space="0" w:color="auto"/>
        <w:right w:val="none" w:sz="0" w:space="0" w:color="auto"/>
      </w:divBdr>
    </w:div>
    <w:div w:id="83116653">
      <w:bodyDiv w:val="1"/>
      <w:marLeft w:val="0"/>
      <w:marRight w:val="0"/>
      <w:marTop w:val="0"/>
      <w:marBottom w:val="0"/>
      <w:divBdr>
        <w:top w:val="none" w:sz="0" w:space="0" w:color="auto"/>
        <w:left w:val="none" w:sz="0" w:space="0" w:color="auto"/>
        <w:bottom w:val="none" w:sz="0" w:space="0" w:color="auto"/>
        <w:right w:val="none" w:sz="0" w:space="0" w:color="auto"/>
      </w:divBdr>
    </w:div>
    <w:div w:id="109858574">
      <w:bodyDiv w:val="1"/>
      <w:marLeft w:val="0"/>
      <w:marRight w:val="0"/>
      <w:marTop w:val="0"/>
      <w:marBottom w:val="0"/>
      <w:divBdr>
        <w:top w:val="none" w:sz="0" w:space="0" w:color="auto"/>
        <w:left w:val="none" w:sz="0" w:space="0" w:color="auto"/>
        <w:bottom w:val="none" w:sz="0" w:space="0" w:color="auto"/>
        <w:right w:val="none" w:sz="0" w:space="0" w:color="auto"/>
      </w:divBdr>
    </w:div>
    <w:div w:id="132404405">
      <w:bodyDiv w:val="1"/>
      <w:marLeft w:val="0"/>
      <w:marRight w:val="0"/>
      <w:marTop w:val="0"/>
      <w:marBottom w:val="0"/>
      <w:divBdr>
        <w:top w:val="none" w:sz="0" w:space="0" w:color="auto"/>
        <w:left w:val="none" w:sz="0" w:space="0" w:color="auto"/>
        <w:bottom w:val="none" w:sz="0" w:space="0" w:color="auto"/>
        <w:right w:val="none" w:sz="0" w:space="0" w:color="auto"/>
      </w:divBdr>
    </w:div>
    <w:div w:id="165097201">
      <w:bodyDiv w:val="1"/>
      <w:marLeft w:val="0"/>
      <w:marRight w:val="0"/>
      <w:marTop w:val="0"/>
      <w:marBottom w:val="0"/>
      <w:divBdr>
        <w:top w:val="none" w:sz="0" w:space="0" w:color="auto"/>
        <w:left w:val="none" w:sz="0" w:space="0" w:color="auto"/>
        <w:bottom w:val="none" w:sz="0" w:space="0" w:color="auto"/>
        <w:right w:val="none" w:sz="0" w:space="0" w:color="auto"/>
      </w:divBdr>
    </w:div>
    <w:div w:id="252133269">
      <w:bodyDiv w:val="1"/>
      <w:marLeft w:val="0"/>
      <w:marRight w:val="0"/>
      <w:marTop w:val="0"/>
      <w:marBottom w:val="0"/>
      <w:divBdr>
        <w:top w:val="none" w:sz="0" w:space="0" w:color="auto"/>
        <w:left w:val="none" w:sz="0" w:space="0" w:color="auto"/>
        <w:bottom w:val="none" w:sz="0" w:space="0" w:color="auto"/>
        <w:right w:val="none" w:sz="0" w:space="0" w:color="auto"/>
      </w:divBdr>
    </w:div>
    <w:div w:id="276107966">
      <w:bodyDiv w:val="1"/>
      <w:marLeft w:val="0"/>
      <w:marRight w:val="0"/>
      <w:marTop w:val="0"/>
      <w:marBottom w:val="0"/>
      <w:divBdr>
        <w:top w:val="none" w:sz="0" w:space="0" w:color="auto"/>
        <w:left w:val="none" w:sz="0" w:space="0" w:color="auto"/>
        <w:bottom w:val="none" w:sz="0" w:space="0" w:color="auto"/>
        <w:right w:val="none" w:sz="0" w:space="0" w:color="auto"/>
      </w:divBdr>
    </w:div>
    <w:div w:id="354814691">
      <w:bodyDiv w:val="1"/>
      <w:marLeft w:val="0"/>
      <w:marRight w:val="0"/>
      <w:marTop w:val="0"/>
      <w:marBottom w:val="0"/>
      <w:divBdr>
        <w:top w:val="none" w:sz="0" w:space="0" w:color="auto"/>
        <w:left w:val="none" w:sz="0" w:space="0" w:color="auto"/>
        <w:bottom w:val="none" w:sz="0" w:space="0" w:color="auto"/>
        <w:right w:val="none" w:sz="0" w:space="0" w:color="auto"/>
      </w:divBdr>
    </w:div>
    <w:div w:id="406921456">
      <w:bodyDiv w:val="1"/>
      <w:marLeft w:val="0"/>
      <w:marRight w:val="0"/>
      <w:marTop w:val="0"/>
      <w:marBottom w:val="0"/>
      <w:divBdr>
        <w:top w:val="none" w:sz="0" w:space="0" w:color="auto"/>
        <w:left w:val="none" w:sz="0" w:space="0" w:color="auto"/>
        <w:bottom w:val="none" w:sz="0" w:space="0" w:color="auto"/>
        <w:right w:val="none" w:sz="0" w:space="0" w:color="auto"/>
      </w:divBdr>
    </w:div>
    <w:div w:id="652413658">
      <w:bodyDiv w:val="1"/>
      <w:marLeft w:val="0"/>
      <w:marRight w:val="0"/>
      <w:marTop w:val="0"/>
      <w:marBottom w:val="0"/>
      <w:divBdr>
        <w:top w:val="none" w:sz="0" w:space="0" w:color="auto"/>
        <w:left w:val="none" w:sz="0" w:space="0" w:color="auto"/>
        <w:bottom w:val="none" w:sz="0" w:space="0" w:color="auto"/>
        <w:right w:val="none" w:sz="0" w:space="0" w:color="auto"/>
      </w:divBdr>
    </w:div>
    <w:div w:id="677537571">
      <w:bodyDiv w:val="1"/>
      <w:marLeft w:val="0"/>
      <w:marRight w:val="0"/>
      <w:marTop w:val="0"/>
      <w:marBottom w:val="0"/>
      <w:divBdr>
        <w:top w:val="none" w:sz="0" w:space="0" w:color="auto"/>
        <w:left w:val="none" w:sz="0" w:space="0" w:color="auto"/>
        <w:bottom w:val="none" w:sz="0" w:space="0" w:color="auto"/>
        <w:right w:val="none" w:sz="0" w:space="0" w:color="auto"/>
      </w:divBdr>
    </w:div>
    <w:div w:id="824931954">
      <w:bodyDiv w:val="1"/>
      <w:marLeft w:val="0"/>
      <w:marRight w:val="0"/>
      <w:marTop w:val="0"/>
      <w:marBottom w:val="0"/>
      <w:divBdr>
        <w:top w:val="none" w:sz="0" w:space="0" w:color="auto"/>
        <w:left w:val="none" w:sz="0" w:space="0" w:color="auto"/>
        <w:bottom w:val="none" w:sz="0" w:space="0" w:color="auto"/>
        <w:right w:val="none" w:sz="0" w:space="0" w:color="auto"/>
      </w:divBdr>
    </w:div>
    <w:div w:id="844440716">
      <w:bodyDiv w:val="1"/>
      <w:marLeft w:val="0"/>
      <w:marRight w:val="0"/>
      <w:marTop w:val="0"/>
      <w:marBottom w:val="0"/>
      <w:divBdr>
        <w:top w:val="none" w:sz="0" w:space="0" w:color="auto"/>
        <w:left w:val="none" w:sz="0" w:space="0" w:color="auto"/>
        <w:bottom w:val="none" w:sz="0" w:space="0" w:color="auto"/>
        <w:right w:val="none" w:sz="0" w:space="0" w:color="auto"/>
      </w:divBdr>
    </w:div>
    <w:div w:id="871727057">
      <w:bodyDiv w:val="1"/>
      <w:marLeft w:val="0"/>
      <w:marRight w:val="0"/>
      <w:marTop w:val="0"/>
      <w:marBottom w:val="0"/>
      <w:divBdr>
        <w:top w:val="none" w:sz="0" w:space="0" w:color="auto"/>
        <w:left w:val="none" w:sz="0" w:space="0" w:color="auto"/>
        <w:bottom w:val="none" w:sz="0" w:space="0" w:color="auto"/>
        <w:right w:val="none" w:sz="0" w:space="0" w:color="auto"/>
      </w:divBdr>
    </w:div>
    <w:div w:id="951670790">
      <w:bodyDiv w:val="1"/>
      <w:marLeft w:val="0"/>
      <w:marRight w:val="0"/>
      <w:marTop w:val="0"/>
      <w:marBottom w:val="0"/>
      <w:divBdr>
        <w:top w:val="none" w:sz="0" w:space="0" w:color="auto"/>
        <w:left w:val="none" w:sz="0" w:space="0" w:color="auto"/>
        <w:bottom w:val="none" w:sz="0" w:space="0" w:color="auto"/>
        <w:right w:val="none" w:sz="0" w:space="0" w:color="auto"/>
      </w:divBdr>
    </w:div>
    <w:div w:id="1040323410">
      <w:bodyDiv w:val="1"/>
      <w:marLeft w:val="0"/>
      <w:marRight w:val="0"/>
      <w:marTop w:val="0"/>
      <w:marBottom w:val="0"/>
      <w:divBdr>
        <w:top w:val="none" w:sz="0" w:space="0" w:color="auto"/>
        <w:left w:val="none" w:sz="0" w:space="0" w:color="auto"/>
        <w:bottom w:val="none" w:sz="0" w:space="0" w:color="auto"/>
        <w:right w:val="none" w:sz="0" w:space="0" w:color="auto"/>
      </w:divBdr>
    </w:div>
    <w:div w:id="1092432595">
      <w:bodyDiv w:val="1"/>
      <w:marLeft w:val="0"/>
      <w:marRight w:val="0"/>
      <w:marTop w:val="0"/>
      <w:marBottom w:val="0"/>
      <w:divBdr>
        <w:top w:val="none" w:sz="0" w:space="0" w:color="auto"/>
        <w:left w:val="none" w:sz="0" w:space="0" w:color="auto"/>
        <w:bottom w:val="none" w:sz="0" w:space="0" w:color="auto"/>
        <w:right w:val="none" w:sz="0" w:space="0" w:color="auto"/>
      </w:divBdr>
    </w:div>
    <w:div w:id="1121605672">
      <w:bodyDiv w:val="1"/>
      <w:marLeft w:val="0"/>
      <w:marRight w:val="0"/>
      <w:marTop w:val="0"/>
      <w:marBottom w:val="0"/>
      <w:divBdr>
        <w:top w:val="none" w:sz="0" w:space="0" w:color="auto"/>
        <w:left w:val="none" w:sz="0" w:space="0" w:color="auto"/>
        <w:bottom w:val="none" w:sz="0" w:space="0" w:color="auto"/>
        <w:right w:val="none" w:sz="0" w:space="0" w:color="auto"/>
      </w:divBdr>
    </w:div>
    <w:div w:id="1197742083">
      <w:bodyDiv w:val="1"/>
      <w:marLeft w:val="0"/>
      <w:marRight w:val="0"/>
      <w:marTop w:val="0"/>
      <w:marBottom w:val="0"/>
      <w:divBdr>
        <w:top w:val="none" w:sz="0" w:space="0" w:color="auto"/>
        <w:left w:val="none" w:sz="0" w:space="0" w:color="auto"/>
        <w:bottom w:val="none" w:sz="0" w:space="0" w:color="auto"/>
        <w:right w:val="none" w:sz="0" w:space="0" w:color="auto"/>
      </w:divBdr>
    </w:div>
    <w:div w:id="1257329570">
      <w:bodyDiv w:val="1"/>
      <w:marLeft w:val="0"/>
      <w:marRight w:val="0"/>
      <w:marTop w:val="0"/>
      <w:marBottom w:val="0"/>
      <w:divBdr>
        <w:top w:val="none" w:sz="0" w:space="0" w:color="auto"/>
        <w:left w:val="none" w:sz="0" w:space="0" w:color="auto"/>
        <w:bottom w:val="none" w:sz="0" w:space="0" w:color="auto"/>
        <w:right w:val="none" w:sz="0" w:space="0" w:color="auto"/>
      </w:divBdr>
    </w:div>
    <w:div w:id="1275820510">
      <w:bodyDiv w:val="1"/>
      <w:marLeft w:val="0"/>
      <w:marRight w:val="0"/>
      <w:marTop w:val="0"/>
      <w:marBottom w:val="0"/>
      <w:divBdr>
        <w:top w:val="none" w:sz="0" w:space="0" w:color="auto"/>
        <w:left w:val="none" w:sz="0" w:space="0" w:color="auto"/>
        <w:bottom w:val="none" w:sz="0" w:space="0" w:color="auto"/>
        <w:right w:val="none" w:sz="0" w:space="0" w:color="auto"/>
      </w:divBdr>
    </w:div>
    <w:div w:id="1324351564">
      <w:bodyDiv w:val="1"/>
      <w:marLeft w:val="0"/>
      <w:marRight w:val="0"/>
      <w:marTop w:val="0"/>
      <w:marBottom w:val="0"/>
      <w:divBdr>
        <w:top w:val="none" w:sz="0" w:space="0" w:color="auto"/>
        <w:left w:val="none" w:sz="0" w:space="0" w:color="auto"/>
        <w:bottom w:val="none" w:sz="0" w:space="0" w:color="auto"/>
        <w:right w:val="none" w:sz="0" w:space="0" w:color="auto"/>
      </w:divBdr>
    </w:div>
    <w:div w:id="1330131309">
      <w:bodyDiv w:val="1"/>
      <w:marLeft w:val="0"/>
      <w:marRight w:val="0"/>
      <w:marTop w:val="0"/>
      <w:marBottom w:val="0"/>
      <w:divBdr>
        <w:top w:val="none" w:sz="0" w:space="0" w:color="auto"/>
        <w:left w:val="none" w:sz="0" w:space="0" w:color="auto"/>
        <w:bottom w:val="none" w:sz="0" w:space="0" w:color="auto"/>
        <w:right w:val="none" w:sz="0" w:space="0" w:color="auto"/>
      </w:divBdr>
    </w:div>
    <w:div w:id="1470708161">
      <w:bodyDiv w:val="1"/>
      <w:marLeft w:val="0"/>
      <w:marRight w:val="0"/>
      <w:marTop w:val="0"/>
      <w:marBottom w:val="0"/>
      <w:divBdr>
        <w:top w:val="none" w:sz="0" w:space="0" w:color="auto"/>
        <w:left w:val="none" w:sz="0" w:space="0" w:color="auto"/>
        <w:bottom w:val="none" w:sz="0" w:space="0" w:color="auto"/>
        <w:right w:val="none" w:sz="0" w:space="0" w:color="auto"/>
      </w:divBdr>
    </w:div>
    <w:div w:id="1485858570">
      <w:bodyDiv w:val="1"/>
      <w:marLeft w:val="0"/>
      <w:marRight w:val="0"/>
      <w:marTop w:val="0"/>
      <w:marBottom w:val="0"/>
      <w:divBdr>
        <w:top w:val="none" w:sz="0" w:space="0" w:color="auto"/>
        <w:left w:val="none" w:sz="0" w:space="0" w:color="auto"/>
        <w:bottom w:val="none" w:sz="0" w:space="0" w:color="auto"/>
        <w:right w:val="none" w:sz="0" w:space="0" w:color="auto"/>
      </w:divBdr>
    </w:div>
    <w:div w:id="1492714909">
      <w:bodyDiv w:val="1"/>
      <w:marLeft w:val="0"/>
      <w:marRight w:val="0"/>
      <w:marTop w:val="0"/>
      <w:marBottom w:val="0"/>
      <w:divBdr>
        <w:top w:val="none" w:sz="0" w:space="0" w:color="auto"/>
        <w:left w:val="none" w:sz="0" w:space="0" w:color="auto"/>
        <w:bottom w:val="none" w:sz="0" w:space="0" w:color="auto"/>
        <w:right w:val="none" w:sz="0" w:space="0" w:color="auto"/>
      </w:divBdr>
    </w:div>
    <w:div w:id="1498572085">
      <w:bodyDiv w:val="1"/>
      <w:marLeft w:val="0"/>
      <w:marRight w:val="0"/>
      <w:marTop w:val="0"/>
      <w:marBottom w:val="0"/>
      <w:divBdr>
        <w:top w:val="none" w:sz="0" w:space="0" w:color="auto"/>
        <w:left w:val="none" w:sz="0" w:space="0" w:color="auto"/>
        <w:bottom w:val="none" w:sz="0" w:space="0" w:color="auto"/>
        <w:right w:val="none" w:sz="0" w:space="0" w:color="auto"/>
      </w:divBdr>
    </w:div>
    <w:div w:id="1604802946">
      <w:bodyDiv w:val="1"/>
      <w:marLeft w:val="0"/>
      <w:marRight w:val="0"/>
      <w:marTop w:val="0"/>
      <w:marBottom w:val="0"/>
      <w:divBdr>
        <w:top w:val="none" w:sz="0" w:space="0" w:color="auto"/>
        <w:left w:val="none" w:sz="0" w:space="0" w:color="auto"/>
        <w:bottom w:val="none" w:sz="0" w:space="0" w:color="auto"/>
        <w:right w:val="none" w:sz="0" w:space="0" w:color="auto"/>
      </w:divBdr>
    </w:div>
    <w:div w:id="1644308754">
      <w:bodyDiv w:val="1"/>
      <w:marLeft w:val="0"/>
      <w:marRight w:val="0"/>
      <w:marTop w:val="0"/>
      <w:marBottom w:val="0"/>
      <w:divBdr>
        <w:top w:val="none" w:sz="0" w:space="0" w:color="auto"/>
        <w:left w:val="none" w:sz="0" w:space="0" w:color="auto"/>
        <w:bottom w:val="none" w:sz="0" w:space="0" w:color="auto"/>
        <w:right w:val="none" w:sz="0" w:space="0" w:color="auto"/>
      </w:divBdr>
    </w:div>
    <w:div w:id="1729307017">
      <w:bodyDiv w:val="1"/>
      <w:marLeft w:val="0"/>
      <w:marRight w:val="0"/>
      <w:marTop w:val="0"/>
      <w:marBottom w:val="0"/>
      <w:divBdr>
        <w:top w:val="none" w:sz="0" w:space="0" w:color="auto"/>
        <w:left w:val="none" w:sz="0" w:space="0" w:color="auto"/>
        <w:bottom w:val="none" w:sz="0" w:space="0" w:color="auto"/>
        <w:right w:val="none" w:sz="0" w:space="0" w:color="auto"/>
      </w:divBdr>
    </w:div>
    <w:div w:id="1770197461">
      <w:bodyDiv w:val="1"/>
      <w:marLeft w:val="0"/>
      <w:marRight w:val="0"/>
      <w:marTop w:val="0"/>
      <w:marBottom w:val="0"/>
      <w:divBdr>
        <w:top w:val="none" w:sz="0" w:space="0" w:color="auto"/>
        <w:left w:val="none" w:sz="0" w:space="0" w:color="auto"/>
        <w:bottom w:val="none" w:sz="0" w:space="0" w:color="auto"/>
        <w:right w:val="none" w:sz="0" w:space="0" w:color="auto"/>
      </w:divBdr>
    </w:div>
    <w:div w:id="1827477427">
      <w:bodyDiv w:val="1"/>
      <w:marLeft w:val="0"/>
      <w:marRight w:val="0"/>
      <w:marTop w:val="0"/>
      <w:marBottom w:val="0"/>
      <w:divBdr>
        <w:top w:val="none" w:sz="0" w:space="0" w:color="auto"/>
        <w:left w:val="none" w:sz="0" w:space="0" w:color="auto"/>
        <w:bottom w:val="none" w:sz="0" w:space="0" w:color="auto"/>
        <w:right w:val="none" w:sz="0" w:space="0" w:color="auto"/>
      </w:divBdr>
    </w:div>
    <w:div w:id="1851262443">
      <w:bodyDiv w:val="1"/>
      <w:marLeft w:val="0"/>
      <w:marRight w:val="0"/>
      <w:marTop w:val="0"/>
      <w:marBottom w:val="0"/>
      <w:divBdr>
        <w:top w:val="none" w:sz="0" w:space="0" w:color="auto"/>
        <w:left w:val="none" w:sz="0" w:space="0" w:color="auto"/>
        <w:bottom w:val="none" w:sz="0" w:space="0" w:color="auto"/>
        <w:right w:val="none" w:sz="0" w:space="0" w:color="auto"/>
      </w:divBdr>
      <w:divsChild>
        <w:div w:id="424767626">
          <w:marLeft w:val="0"/>
          <w:marRight w:val="0"/>
          <w:marTop w:val="0"/>
          <w:marBottom w:val="0"/>
          <w:divBdr>
            <w:top w:val="none" w:sz="0" w:space="0" w:color="auto"/>
            <w:left w:val="none" w:sz="0" w:space="0" w:color="auto"/>
            <w:bottom w:val="none" w:sz="0" w:space="0" w:color="auto"/>
            <w:right w:val="none" w:sz="0" w:space="0" w:color="auto"/>
          </w:divBdr>
          <w:divsChild>
            <w:div w:id="480972475">
              <w:marLeft w:val="0"/>
              <w:marRight w:val="0"/>
              <w:marTop w:val="0"/>
              <w:marBottom w:val="0"/>
              <w:divBdr>
                <w:top w:val="none" w:sz="0" w:space="0" w:color="auto"/>
                <w:left w:val="none" w:sz="0" w:space="0" w:color="auto"/>
                <w:bottom w:val="none" w:sz="0" w:space="0" w:color="auto"/>
                <w:right w:val="none" w:sz="0" w:space="0" w:color="auto"/>
              </w:divBdr>
            </w:div>
            <w:div w:id="887955935">
              <w:marLeft w:val="0"/>
              <w:marRight w:val="0"/>
              <w:marTop w:val="0"/>
              <w:marBottom w:val="0"/>
              <w:divBdr>
                <w:top w:val="none" w:sz="0" w:space="0" w:color="auto"/>
                <w:left w:val="none" w:sz="0" w:space="0" w:color="auto"/>
                <w:bottom w:val="none" w:sz="0" w:space="0" w:color="auto"/>
                <w:right w:val="none" w:sz="0" w:space="0" w:color="auto"/>
              </w:divBdr>
            </w:div>
            <w:div w:id="1479109590">
              <w:marLeft w:val="0"/>
              <w:marRight w:val="0"/>
              <w:marTop w:val="0"/>
              <w:marBottom w:val="0"/>
              <w:divBdr>
                <w:top w:val="none" w:sz="0" w:space="0" w:color="auto"/>
                <w:left w:val="none" w:sz="0" w:space="0" w:color="auto"/>
                <w:bottom w:val="none" w:sz="0" w:space="0" w:color="auto"/>
                <w:right w:val="none" w:sz="0" w:space="0" w:color="auto"/>
              </w:divBdr>
            </w:div>
            <w:div w:id="1638879812">
              <w:marLeft w:val="0"/>
              <w:marRight w:val="0"/>
              <w:marTop w:val="0"/>
              <w:marBottom w:val="0"/>
              <w:divBdr>
                <w:top w:val="none" w:sz="0" w:space="0" w:color="auto"/>
                <w:left w:val="none" w:sz="0" w:space="0" w:color="auto"/>
                <w:bottom w:val="none" w:sz="0" w:space="0" w:color="auto"/>
                <w:right w:val="none" w:sz="0" w:space="0" w:color="auto"/>
              </w:divBdr>
            </w:div>
            <w:div w:id="2009090209">
              <w:marLeft w:val="0"/>
              <w:marRight w:val="0"/>
              <w:marTop w:val="0"/>
              <w:marBottom w:val="0"/>
              <w:divBdr>
                <w:top w:val="none" w:sz="0" w:space="0" w:color="auto"/>
                <w:left w:val="none" w:sz="0" w:space="0" w:color="auto"/>
                <w:bottom w:val="none" w:sz="0" w:space="0" w:color="auto"/>
                <w:right w:val="none" w:sz="0" w:space="0" w:color="auto"/>
              </w:divBdr>
            </w:div>
          </w:divsChild>
        </w:div>
        <w:div w:id="1251114748">
          <w:marLeft w:val="0"/>
          <w:marRight w:val="0"/>
          <w:marTop w:val="0"/>
          <w:marBottom w:val="0"/>
          <w:divBdr>
            <w:top w:val="none" w:sz="0" w:space="0" w:color="auto"/>
            <w:left w:val="none" w:sz="0" w:space="0" w:color="auto"/>
            <w:bottom w:val="none" w:sz="0" w:space="0" w:color="auto"/>
            <w:right w:val="none" w:sz="0" w:space="0" w:color="auto"/>
          </w:divBdr>
          <w:divsChild>
            <w:div w:id="1051657962">
              <w:marLeft w:val="0"/>
              <w:marRight w:val="0"/>
              <w:marTop w:val="0"/>
              <w:marBottom w:val="0"/>
              <w:divBdr>
                <w:top w:val="none" w:sz="0" w:space="0" w:color="auto"/>
                <w:left w:val="none" w:sz="0" w:space="0" w:color="auto"/>
                <w:bottom w:val="none" w:sz="0" w:space="0" w:color="auto"/>
                <w:right w:val="none" w:sz="0" w:space="0" w:color="auto"/>
              </w:divBdr>
            </w:div>
            <w:div w:id="1134325215">
              <w:marLeft w:val="0"/>
              <w:marRight w:val="0"/>
              <w:marTop w:val="0"/>
              <w:marBottom w:val="0"/>
              <w:divBdr>
                <w:top w:val="none" w:sz="0" w:space="0" w:color="auto"/>
                <w:left w:val="none" w:sz="0" w:space="0" w:color="auto"/>
                <w:bottom w:val="none" w:sz="0" w:space="0" w:color="auto"/>
                <w:right w:val="none" w:sz="0" w:space="0" w:color="auto"/>
              </w:divBdr>
            </w:div>
            <w:div w:id="1214273244">
              <w:marLeft w:val="0"/>
              <w:marRight w:val="0"/>
              <w:marTop w:val="0"/>
              <w:marBottom w:val="0"/>
              <w:divBdr>
                <w:top w:val="none" w:sz="0" w:space="0" w:color="auto"/>
                <w:left w:val="none" w:sz="0" w:space="0" w:color="auto"/>
                <w:bottom w:val="none" w:sz="0" w:space="0" w:color="auto"/>
                <w:right w:val="none" w:sz="0" w:space="0" w:color="auto"/>
              </w:divBdr>
            </w:div>
          </w:divsChild>
        </w:div>
        <w:div w:id="1975023200">
          <w:marLeft w:val="0"/>
          <w:marRight w:val="0"/>
          <w:marTop w:val="0"/>
          <w:marBottom w:val="0"/>
          <w:divBdr>
            <w:top w:val="none" w:sz="0" w:space="0" w:color="auto"/>
            <w:left w:val="none" w:sz="0" w:space="0" w:color="auto"/>
            <w:bottom w:val="none" w:sz="0" w:space="0" w:color="auto"/>
            <w:right w:val="none" w:sz="0" w:space="0" w:color="auto"/>
          </w:divBdr>
        </w:div>
        <w:div w:id="2099642743">
          <w:marLeft w:val="0"/>
          <w:marRight w:val="0"/>
          <w:marTop w:val="0"/>
          <w:marBottom w:val="0"/>
          <w:divBdr>
            <w:top w:val="none" w:sz="0" w:space="0" w:color="auto"/>
            <w:left w:val="none" w:sz="0" w:space="0" w:color="auto"/>
            <w:bottom w:val="none" w:sz="0" w:space="0" w:color="auto"/>
            <w:right w:val="none" w:sz="0" w:space="0" w:color="auto"/>
          </w:divBdr>
          <w:divsChild>
            <w:div w:id="5406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58054">
      <w:bodyDiv w:val="1"/>
      <w:marLeft w:val="0"/>
      <w:marRight w:val="0"/>
      <w:marTop w:val="0"/>
      <w:marBottom w:val="0"/>
      <w:divBdr>
        <w:top w:val="none" w:sz="0" w:space="0" w:color="auto"/>
        <w:left w:val="none" w:sz="0" w:space="0" w:color="auto"/>
        <w:bottom w:val="none" w:sz="0" w:space="0" w:color="auto"/>
        <w:right w:val="none" w:sz="0" w:space="0" w:color="auto"/>
      </w:divBdr>
    </w:div>
    <w:div w:id="1940019991">
      <w:bodyDiv w:val="1"/>
      <w:marLeft w:val="0"/>
      <w:marRight w:val="0"/>
      <w:marTop w:val="0"/>
      <w:marBottom w:val="0"/>
      <w:divBdr>
        <w:top w:val="none" w:sz="0" w:space="0" w:color="auto"/>
        <w:left w:val="none" w:sz="0" w:space="0" w:color="auto"/>
        <w:bottom w:val="none" w:sz="0" w:space="0" w:color="auto"/>
        <w:right w:val="none" w:sz="0" w:space="0" w:color="auto"/>
      </w:divBdr>
    </w:div>
    <w:div w:id="1984037073">
      <w:bodyDiv w:val="1"/>
      <w:marLeft w:val="0"/>
      <w:marRight w:val="0"/>
      <w:marTop w:val="0"/>
      <w:marBottom w:val="0"/>
      <w:divBdr>
        <w:top w:val="none" w:sz="0" w:space="0" w:color="auto"/>
        <w:left w:val="none" w:sz="0" w:space="0" w:color="auto"/>
        <w:bottom w:val="none" w:sz="0" w:space="0" w:color="auto"/>
        <w:right w:val="none" w:sz="0" w:space="0" w:color="auto"/>
      </w:divBdr>
    </w:div>
    <w:div w:id="2024045690">
      <w:bodyDiv w:val="1"/>
      <w:marLeft w:val="0"/>
      <w:marRight w:val="0"/>
      <w:marTop w:val="0"/>
      <w:marBottom w:val="0"/>
      <w:divBdr>
        <w:top w:val="none" w:sz="0" w:space="0" w:color="auto"/>
        <w:left w:val="none" w:sz="0" w:space="0" w:color="auto"/>
        <w:bottom w:val="none" w:sz="0" w:space="0" w:color="auto"/>
        <w:right w:val="none" w:sz="0" w:space="0" w:color="auto"/>
      </w:divBdr>
    </w:div>
    <w:div w:id="211609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alenterprise.ie/Portal/Green/New-Green-Images/What-is-Green.html?gad_source=1&amp;gclid=EAIaIQobChMI-Yay2cWOggMV0oFQBh19VwnKEAAYASAAEgKPefD_BwE" TargetMode="External"/><Relationship Id="rId18" Type="http://schemas.openxmlformats.org/officeDocument/2006/relationships/hyperlink" Target="https://www.enterprise-ireland.com/en/supports/clai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eai.ie/business-and-public-sector/small-and-medium-business/supports/energy-audits/" TargetMode="External"/><Relationship Id="rId17" Type="http://schemas.openxmlformats.org/officeDocument/2006/relationships/hyperlink" Target="mailto:IndustryGrantClaims@enterprise-ireland.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dustryGrantClaims@enterprise-irelan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entirl.sharepoint.com%2Fsites%2FTheGuide%2FTerms%2520of%2520Reference%2FForms%2FAllItems.aspx&amp;data=05%7C01%7CKathleen.ORegan%40enterprise-ireland.com%7Ce8664999153d427f320908dbd6dda658%7Cbdd3e620ccf34ac6a8070501d2cb25c4%7C0%7C0%7C638340019702917596%7CUnknown%7CTWFpbGZsb3d8eyJWIjoiMC4wLjAwMDAiLCJQIjoiV2luMzIiLCJBTiI6Ik1haWwiLCJXVCI6Mn0%3D%7C3000%7C%7C%7C&amp;sdata=yt2ONcmmkrL531tkaqqL0eWSkxaMc3aljs6X%2BY6fips%3D&amp;reserved=0"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enterprise-ireland.com/en/supports/claims/climate-action-voucher-claim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ustryGrantClaims@enterprise-ireland.com"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competition/state_aid/legislation/block.html" TargetMode="External"/><Relationship Id="rId1" Type="http://schemas.openxmlformats.org/officeDocument/2006/relationships/hyperlink" Target="https://www.gov.ie/en/publication/d4939-national-recovery-and-resilience-plan-202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FB2615C93F94BB672899AF0A492DC" ma:contentTypeVersion="6" ma:contentTypeDescription="Create a new document." ma:contentTypeScope="" ma:versionID="bb28081f52d8eed09ff8c0b36633dbb5">
  <xsd:schema xmlns:xsd="http://www.w3.org/2001/XMLSchema" xmlns:xs="http://www.w3.org/2001/XMLSchema" xmlns:p="http://schemas.microsoft.com/office/2006/metadata/properties" xmlns:ns2="1c3967ff-7c75-434b-b573-0d2ffd45fe67" xmlns:ns3="e8b71674-482e-44fe-b703-9432df8a76a3" targetNamespace="http://schemas.microsoft.com/office/2006/metadata/properties" ma:root="true" ma:fieldsID="792ffc8968a200077975e3f84127f7f4" ns2:_="" ns3:_="">
    <xsd:import namespace="1c3967ff-7c75-434b-b573-0d2ffd45fe67"/>
    <xsd:import namespace="e8b71674-482e-44fe-b703-9432df8a76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967ff-7c75-434b-b573-0d2ffd45f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71674-482e-44fe-b703-9432df8a7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A1264-B778-4554-AC85-0349D31B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967ff-7c75-434b-b573-0d2ffd45fe67"/>
    <ds:schemaRef ds:uri="e8b71674-482e-44fe-b703-9432df8a7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805FD-FC30-424E-8F44-83759D7D2E0C}">
  <ds:schemaRefs>
    <ds:schemaRef ds:uri="http://schemas.openxmlformats.org/officeDocument/2006/bibliography"/>
  </ds:schemaRefs>
</ds:datastoreItem>
</file>

<file path=customXml/itemProps3.xml><?xml version="1.0" encoding="utf-8"?>
<ds:datastoreItem xmlns:ds="http://schemas.openxmlformats.org/officeDocument/2006/customXml" ds:itemID="{3E673185-4C0B-4A19-A8F3-82A13E53C71C}">
  <ds:schemaRefs>
    <ds:schemaRef ds:uri="http://schemas.microsoft.com/sharepoint/v3/contenttype/forms"/>
  </ds:schemaRefs>
</ds:datastoreItem>
</file>

<file path=customXml/itemProps4.xml><?xml version="1.0" encoding="utf-8"?>
<ds:datastoreItem xmlns:ds="http://schemas.openxmlformats.org/officeDocument/2006/customXml" ds:itemID="{7E6B7C5E-C5D8-45A1-AC32-D9D7CD8684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5939</Words>
  <Characters>33857</Characters>
  <Application>Microsoft Office Word</Application>
  <DocSecurity>0</DocSecurity>
  <Lines>282</Lines>
  <Paragraphs>79</Paragraphs>
  <ScaleCrop>false</ScaleCrop>
  <Company/>
  <LinksUpToDate>false</LinksUpToDate>
  <CharactersWithSpaces>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 hAilín, Ruairí</dc:creator>
  <cp:keywords/>
  <dc:description/>
  <cp:lastModifiedBy>Maye, Louise</cp:lastModifiedBy>
  <cp:revision>225</cp:revision>
  <cp:lastPrinted>2018-05-02T23:48:00Z</cp:lastPrinted>
  <dcterms:created xsi:type="dcterms:W3CDTF">2024-06-26T20:39:00Z</dcterms:created>
  <dcterms:modified xsi:type="dcterms:W3CDTF">2025-11-18T13:10:00Z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0x01010019CFB2615C93F94BB672899AF0A492DC</vt:lpwstr>
  </property>
  <property fmtid="{D5CDD505-2E9C-101B-9397-08002B2CF9AE}" pid="3" name="eDocs_FileTopics">
    <vt:lpwstr>2;#Climate Action|973959c5-d304-481b-aede-f42d3038d361</vt:lpwstr>
  </property>
  <property fmtid="{D5CDD505-2E9C-101B-9397-08002B2CF9AE}" pid="4" name="eDocs_Year">
    <vt:lpwstr>7;#2021|a64395a4-af33-4797-8677-16ff10df57b2</vt:lpwstr>
  </property>
  <property fmtid="{D5CDD505-2E9C-101B-9397-08002B2CF9AE}" pid="5" name="eDocs_SeriesSubSeries">
    <vt:lpwstr>8;#136|bd42283b-b71d-4ca7-ae37-b8cd3dcb4559</vt:lpwstr>
  </property>
  <property fmtid="{D5CDD505-2E9C-101B-9397-08002B2CF9AE}" pid="6" name="eDocs_SecurityClassificationTaxHTField0">
    <vt:lpwstr>Unclassified|779752a3-a421-4077-839c-91815f544ae2</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eDocs_SecurityClassification">
    <vt:lpwstr>1;#Unclassified|779752a3-a421-4077-839c-91815f544ae2</vt:lpwstr>
  </property>
  <property fmtid="{D5CDD505-2E9C-101B-9397-08002B2CF9AE}" pid="10" name="eDocs_DocumentTopics">
    <vt:lpwstr/>
  </property>
  <property fmtid="{D5CDD505-2E9C-101B-9397-08002B2CF9AE}" pid="11" name="eDocs_SeriesSubSeriesTaxHTField0">
    <vt:lpwstr>136|bd42283b-b71d-4ca7-ae37-b8cd3dcb4559</vt:lpwstr>
  </property>
  <property fmtid="{D5CDD505-2E9C-101B-9397-08002B2CF9AE}" pid="12" name="_dlc_ExpireDate">
    <vt:filetime>2022-06-30T08:39:26Z</vt:filetime>
  </property>
  <property fmtid="{D5CDD505-2E9C-101B-9397-08002B2CF9AE}" pid="13" name="eDocs_FileStatus">
    <vt:lpwstr>Live</vt:lpwstr>
  </property>
  <property fmtid="{D5CDD505-2E9C-101B-9397-08002B2CF9AE}" pid="14" name="eDocs_YearTaxHTField0">
    <vt:lpwstr>2021|a64395a4-af33-4797-8677-16ff10df57b2</vt:lpwstr>
  </property>
  <property fmtid="{D5CDD505-2E9C-101B-9397-08002B2CF9AE}" pid="15" name="eDocs_FileTopicsTaxHTField0">
    <vt:lpwstr>Climate Action|973959c5-d304-481b-aede-f42d3038d361</vt:lpwstr>
  </property>
  <property fmtid="{D5CDD505-2E9C-101B-9397-08002B2CF9AE}" pid="16" name="TaxCatchAll">
    <vt:lpwstr>1;#;#2;#;#8;#;#7;#</vt:lpwstr>
  </property>
  <property fmtid="{D5CDD505-2E9C-101B-9397-08002B2CF9AE}" pid="17" name="eDocs_FileName">
    <vt:lpwstr>ENT136-003-2021</vt:lpwstr>
  </property>
  <property fmtid="{D5CDD505-2E9C-101B-9397-08002B2CF9AE}" pid="19" name="_NewReviewCycle">
    <vt:lpwstr/>
  </property>
  <property fmtid="{D5CDD505-2E9C-101B-9397-08002B2CF9AE}" pid="23" name="MediaServiceImageTags">
    <vt:lpwstr/>
  </property>
  <property fmtid="{D5CDD505-2E9C-101B-9397-08002B2CF9AE}" pid="25" name="Order">
    <vt:r8>67200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ies>
</file>