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71E5F" w14:textId="5F672D39" w:rsidR="001426B0" w:rsidRDefault="001426B0" w:rsidP="083E69FC">
      <w:pPr>
        <w:spacing w:line="360" w:lineRule="auto"/>
        <w:ind w:hanging="709"/>
        <w:outlineLvl w:val="0"/>
        <w:rPr>
          <w:rStyle w:val="normalchar1"/>
          <w:rFonts w:asciiTheme="minorHAnsi" w:hAnsiTheme="minorHAnsi" w:cstheme="minorBidi"/>
          <w:b/>
          <w:bCs/>
          <w:sz w:val="22"/>
          <w:szCs w:val="22"/>
        </w:rPr>
      </w:pPr>
    </w:p>
    <w:p w14:paraId="72AB1336" w14:textId="77777777" w:rsidR="001426B0" w:rsidRDefault="001426B0" w:rsidP="3C683E18">
      <w:pPr>
        <w:spacing w:line="360" w:lineRule="auto"/>
        <w:ind w:hanging="709"/>
        <w:outlineLvl w:val="0"/>
        <w:rPr>
          <w:rStyle w:val="normalchar1"/>
          <w:rFonts w:asciiTheme="minorHAnsi" w:hAnsiTheme="minorHAnsi" w:cstheme="minorBidi"/>
          <w:b/>
          <w:bCs/>
          <w:sz w:val="22"/>
          <w:szCs w:val="22"/>
        </w:rPr>
      </w:pPr>
    </w:p>
    <w:p w14:paraId="56584E9B" w14:textId="1F1E5B03" w:rsidR="00B32F91" w:rsidRDefault="00B32F91">
      <w:pPr>
        <w:rPr>
          <w:rFonts w:asciiTheme="majorHAnsi" w:eastAsiaTheme="majorEastAsia" w:hAnsiTheme="majorHAnsi" w:cstheme="majorBidi"/>
          <w:color w:val="2F5496" w:themeColor="accent1" w:themeShade="BF"/>
          <w:sz w:val="32"/>
          <w:szCs w:val="32"/>
        </w:rPr>
      </w:pPr>
    </w:p>
    <w:p w14:paraId="14CC8367" w14:textId="6A9649A5" w:rsidR="00B32F91" w:rsidRDefault="00D8277B" w:rsidP="00057E4F">
      <w:pPr>
        <w:pStyle w:val="Heading1"/>
        <w:rPr>
          <w:b w:val="0"/>
          <w:bCs/>
        </w:rPr>
      </w:pPr>
      <w:bookmarkStart w:id="0" w:name="_Hlk99883266"/>
      <w:r>
        <w:rPr>
          <w:b w:val="0"/>
          <w:bCs/>
          <w:noProof/>
        </w:rPr>
        <w:drawing>
          <wp:anchor distT="0" distB="0" distL="114300" distR="114300" simplePos="0" relativeHeight="251659264" behindDoc="0" locked="0" layoutInCell="1" allowOverlap="1" wp14:anchorId="12DA89BE" wp14:editId="3E134724">
            <wp:simplePos x="0" y="0"/>
            <wp:positionH relativeFrom="column">
              <wp:posOffset>3094355</wp:posOffset>
            </wp:positionH>
            <wp:positionV relativeFrom="paragraph">
              <wp:posOffset>4445</wp:posOffset>
            </wp:positionV>
            <wp:extent cx="3129915" cy="10382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9915" cy="1038225"/>
                    </a:xfrm>
                    <a:prstGeom prst="rect">
                      <a:avLst/>
                    </a:prstGeom>
                    <a:noFill/>
                  </pic:spPr>
                </pic:pic>
              </a:graphicData>
            </a:graphic>
            <wp14:sizeRelH relativeFrom="margin">
              <wp14:pctWidth>0</wp14:pctWidth>
            </wp14:sizeRelH>
            <wp14:sizeRelV relativeFrom="margin">
              <wp14:pctHeight>0</wp14:pctHeight>
            </wp14:sizeRelV>
          </wp:anchor>
        </w:drawing>
      </w:r>
      <w:r w:rsidR="00B32F91">
        <w:rPr>
          <w:bCs/>
        </w:rPr>
        <w:tab/>
      </w:r>
      <w:r w:rsidR="00B32F91">
        <w:rPr>
          <w:bCs/>
        </w:rPr>
        <w:tab/>
      </w:r>
      <w:r w:rsidR="00B32F91">
        <w:rPr>
          <w:bCs/>
        </w:rPr>
        <w:tab/>
      </w:r>
      <w:r w:rsidR="00B32F91">
        <w:rPr>
          <w:bCs/>
        </w:rPr>
        <w:tab/>
      </w:r>
      <w:r w:rsidR="00B32F91">
        <w:rPr>
          <w:bCs/>
        </w:rPr>
        <w:tab/>
      </w:r>
      <w:r w:rsidR="00B32F91">
        <w:rPr>
          <w:bCs/>
        </w:rPr>
        <w:tab/>
      </w:r>
      <w:r w:rsidR="00B32F91">
        <w:rPr>
          <w:bCs/>
        </w:rPr>
        <w:tab/>
      </w:r>
    </w:p>
    <w:p w14:paraId="04D9B9E6" w14:textId="0CEA51EC" w:rsidR="00B32F91" w:rsidRDefault="00B32F91" w:rsidP="00057E4F">
      <w:pPr>
        <w:pStyle w:val="Heading1"/>
        <w:rPr>
          <w:b w:val="0"/>
          <w:bCs/>
        </w:rPr>
      </w:pPr>
      <w:r>
        <w:rPr>
          <w:noProof/>
        </w:rPr>
        <w:drawing>
          <wp:inline distT="0" distB="0" distL="0" distR="0" wp14:anchorId="721DE43F" wp14:editId="69024753">
            <wp:extent cx="2247900" cy="6584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6149" cy="707782"/>
                    </a:xfrm>
                    <a:prstGeom prst="rect">
                      <a:avLst/>
                    </a:prstGeom>
                    <a:noFill/>
                    <a:ln>
                      <a:noFill/>
                    </a:ln>
                  </pic:spPr>
                </pic:pic>
              </a:graphicData>
            </a:graphic>
          </wp:inline>
        </w:drawing>
      </w:r>
    </w:p>
    <w:p w14:paraId="2FBD57DD" w14:textId="77777777" w:rsidR="00B32F91" w:rsidRDefault="00B32F91" w:rsidP="00057E4F">
      <w:pPr>
        <w:pStyle w:val="Heading1"/>
        <w:rPr>
          <w:b w:val="0"/>
          <w:bCs/>
        </w:rPr>
      </w:pPr>
    </w:p>
    <w:p w14:paraId="0DE092AE" w14:textId="77777777" w:rsidR="00B32F91" w:rsidRDefault="00B32F91" w:rsidP="00057E4F">
      <w:pPr>
        <w:pStyle w:val="Heading1"/>
        <w:rPr>
          <w:b w:val="0"/>
          <w:bCs/>
        </w:rPr>
      </w:pPr>
      <w:r>
        <w:rPr>
          <w:bCs/>
        </w:rPr>
        <w:br w:type="textWrapping" w:clear="all"/>
      </w:r>
    </w:p>
    <w:p w14:paraId="7B67C512" w14:textId="77777777" w:rsidR="00B32F91" w:rsidRDefault="00B32F91" w:rsidP="00057E4F">
      <w:pPr>
        <w:pStyle w:val="Heading1"/>
        <w:rPr>
          <w:b w:val="0"/>
          <w:bCs/>
        </w:rPr>
      </w:pPr>
    </w:p>
    <w:p w14:paraId="570035A7" w14:textId="77777777" w:rsidR="00B32F91" w:rsidRPr="00EB24C1" w:rsidRDefault="00B32F91" w:rsidP="00473781">
      <w:pPr>
        <w:pStyle w:val="Heading1"/>
        <w:jc w:val="center"/>
        <w:rPr>
          <w:rFonts w:ascii="Arial" w:hAnsi="Arial" w:cs="Arial"/>
          <w:bCs/>
          <w:sz w:val="48"/>
          <w:szCs w:val="48"/>
        </w:rPr>
      </w:pPr>
      <w:r w:rsidRPr="00EB24C1">
        <w:rPr>
          <w:rFonts w:ascii="Arial" w:hAnsi="Arial" w:cs="Arial"/>
          <w:bCs/>
          <w:sz w:val="48"/>
          <w:szCs w:val="48"/>
        </w:rPr>
        <w:t>Access Advice Offer</w:t>
      </w:r>
    </w:p>
    <w:p w14:paraId="37A80269" w14:textId="77777777" w:rsidR="001A49F7" w:rsidRPr="001A49F7" w:rsidRDefault="001A49F7" w:rsidP="001A49F7">
      <w:pPr>
        <w:rPr>
          <w:lang w:eastAsia="en-US"/>
        </w:rPr>
      </w:pPr>
    </w:p>
    <w:p w14:paraId="3E173A15" w14:textId="77777777" w:rsidR="00B32F91" w:rsidRPr="00EB24C1" w:rsidRDefault="00B32F91" w:rsidP="00205786">
      <w:pPr>
        <w:jc w:val="center"/>
        <w:rPr>
          <w:rFonts w:ascii="Arial" w:eastAsiaTheme="majorEastAsia" w:hAnsi="Arial" w:cs="Arial"/>
          <w:b/>
          <w:bCs/>
          <w:color w:val="2F5496" w:themeColor="accent1" w:themeShade="BF"/>
          <w:sz w:val="32"/>
          <w:szCs w:val="32"/>
        </w:rPr>
      </w:pPr>
      <w:r w:rsidRPr="1DCF1105">
        <w:rPr>
          <w:b/>
          <w:bCs/>
        </w:rPr>
        <w:t xml:space="preserve"> </w:t>
      </w:r>
      <w:proofErr w:type="spellStart"/>
      <w:r w:rsidRPr="00EB24C1">
        <w:rPr>
          <w:rFonts w:ascii="Arial" w:eastAsiaTheme="majorEastAsia" w:hAnsi="Arial" w:cs="Arial"/>
          <w:b/>
          <w:bCs/>
          <w:sz w:val="32"/>
          <w:szCs w:val="32"/>
        </w:rPr>
        <w:t>Cáipéis</w:t>
      </w:r>
      <w:proofErr w:type="spellEnd"/>
      <w:r w:rsidRPr="00EB24C1">
        <w:rPr>
          <w:rFonts w:ascii="Arial" w:eastAsiaTheme="majorEastAsia" w:hAnsi="Arial" w:cs="Arial"/>
          <w:b/>
          <w:bCs/>
          <w:sz w:val="32"/>
          <w:szCs w:val="32"/>
        </w:rPr>
        <w:t xml:space="preserve"> </w:t>
      </w:r>
      <w:proofErr w:type="spellStart"/>
      <w:r w:rsidRPr="00EB24C1">
        <w:rPr>
          <w:rFonts w:ascii="Arial" w:eastAsiaTheme="majorEastAsia" w:hAnsi="Arial" w:cs="Arial"/>
          <w:b/>
          <w:bCs/>
          <w:sz w:val="32"/>
          <w:szCs w:val="32"/>
        </w:rPr>
        <w:t>Tagartha</w:t>
      </w:r>
      <w:proofErr w:type="spellEnd"/>
      <w:r w:rsidRPr="00EB24C1">
        <w:rPr>
          <w:rFonts w:ascii="Arial" w:eastAsiaTheme="majorEastAsia" w:hAnsi="Arial" w:cs="Arial"/>
          <w:b/>
          <w:bCs/>
          <w:sz w:val="32"/>
          <w:szCs w:val="32"/>
        </w:rPr>
        <w:t xml:space="preserve"> </w:t>
      </w:r>
      <w:r w:rsidRPr="00EB24C1">
        <w:rPr>
          <w:rFonts w:ascii="Arial" w:hAnsi="Arial" w:cs="Arial"/>
          <w:b/>
          <w:bCs/>
        </w:rPr>
        <w:t xml:space="preserve">- </w:t>
      </w:r>
      <w:r w:rsidRPr="00EB24C1">
        <w:rPr>
          <w:rFonts w:ascii="Arial" w:eastAsiaTheme="majorEastAsia" w:hAnsi="Arial" w:cs="Arial"/>
          <w:b/>
          <w:bCs/>
          <w:sz w:val="32"/>
          <w:szCs w:val="32"/>
        </w:rPr>
        <w:t>Terms of Reference</w:t>
      </w:r>
    </w:p>
    <w:p w14:paraId="1C1C1F7B" w14:textId="77777777" w:rsidR="00B32F91" w:rsidRDefault="00B32F91" w:rsidP="1DCF1105"/>
    <w:p w14:paraId="62826BF1" w14:textId="77777777" w:rsidR="001A49F7" w:rsidRDefault="001A49F7" w:rsidP="00A71DDF">
      <w:pPr>
        <w:jc w:val="center"/>
      </w:pPr>
    </w:p>
    <w:p w14:paraId="7DF08214" w14:textId="0116CB50" w:rsidR="00B32F91" w:rsidRDefault="00B32F91" w:rsidP="00A71DDF">
      <w:pPr>
        <w:jc w:val="center"/>
      </w:pPr>
      <w:r>
        <w:t>14.06.2024</w:t>
      </w:r>
    </w:p>
    <w:p w14:paraId="0EBB35A6" w14:textId="77777777" w:rsidR="00B32F91" w:rsidRDefault="00B32F91" w:rsidP="00473781"/>
    <w:p w14:paraId="5765E66B" w14:textId="36C74C0B" w:rsidR="10CDE4D7" w:rsidRDefault="10CDE4D7" w:rsidP="10CDE4D7">
      <w:pPr>
        <w:widowControl w:val="0"/>
        <w:rPr>
          <w:rFonts w:eastAsia="Calibri" w:cstheme="minorBidi"/>
          <w:b/>
          <w:bCs/>
        </w:rPr>
      </w:pPr>
    </w:p>
    <w:p w14:paraId="60C32BAB" w14:textId="4073D904" w:rsidR="00B32F91" w:rsidRPr="00BD4ACC" w:rsidRDefault="00B32F91" w:rsidP="00BD4ACC">
      <w:pPr>
        <w:widowControl w:val="0"/>
        <w:autoSpaceDE w:val="0"/>
        <w:autoSpaceDN w:val="0"/>
        <w:rPr>
          <w:rFonts w:eastAsia="Calibri" w:cstheme="minorHAnsi"/>
          <w:b/>
          <w:bCs/>
          <w:spacing w:val="-2"/>
        </w:rPr>
      </w:pPr>
    </w:p>
    <w:p w14:paraId="3A6F209A" w14:textId="77777777" w:rsidR="00B32F91" w:rsidRPr="00BD4ACC" w:rsidRDefault="00B32F91" w:rsidP="00BD4ACC">
      <w:pPr>
        <w:widowControl w:val="0"/>
        <w:autoSpaceDE w:val="0"/>
        <w:autoSpaceDN w:val="0"/>
        <w:spacing w:before="4"/>
        <w:rPr>
          <w:rFonts w:eastAsia="Calibri" w:cstheme="minorHAnsi"/>
          <w:sz w:val="22"/>
          <w:szCs w:val="22"/>
        </w:rPr>
      </w:pPr>
    </w:p>
    <w:tbl>
      <w:tblPr>
        <w:tblW w:w="94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1"/>
        <w:gridCol w:w="5640"/>
      </w:tblGrid>
      <w:tr w:rsidR="00B32F91" w:rsidRPr="00EB24C1" w14:paraId="55E8792C" w14:textId="77777777" w:rsidTr="00CF13C9">
        <w:trPr>
          <w:trHeight w:val="268"/>
        </w:trPr>
        <w:tc>
          <w:tcPr>
            <w:tcW w:w="3761" w:type="dxa"/>
            <w:shd w:val="clear" w:color="auto" w:fill="auto"/>
          </w:tcPr>
          <w:p w14:paraId="544299D9" w14:textId="77777777" w:rsidR="00B32F91" w:rsidRPr="00EB24C1" w:rsidRDefault="00B32F91" w:rsidP="00BD4ACC">
            <w:pPr>
              <w:widowControl w:val="0"/>
              <w:autoSpaceDE w:val="0"/>
              <w:autoSpaceDN w:val="0"/>
              <w:spacing w:line="248" w:lineRule="exact"/>
              <w:ind w:left="107"/>
              <w:rPr>
                <w:rFonts w:ascii="Arial" w:eastAsia="Calibri" w:hAnsi="Arial" w:cs="Arial"/>
                <w:b/>
                <w:spacing w:val="-2"/>
                <w:sz w:val="22"/>
                <w:szCs w:val="22"/>
              </w:rPr>
            </w:pPr>
            <w:r w:rsidRPr="00EB24C1">
              <w:rPr>
                <w:rFonts w:ascii="Arial" w:eastAsia="Calibri" w:hAnsi="Arial" w:cs="Arial"/>
                <w:b/>
                <w:sz w:val="22"/>
                <w:szCs w:val="22"/>
              </w:rPr>
              <w:t>Title</w:t>
            </w:r>
            <w:r w:rsidRPr="00EB24C1">
              <w:rPr>
                <w:rFonts w:ascii="Arial" w:eastAsia="Calibri" w:hAnsi="Arial" w:cs="Arial"/>
                <w:b/>
                <w:spacing w:val="-3"/>
                <w:sz w:val="22"/>
                <w:szCs w:val="22"/>
              </w:rPr>
              <w:t xml:space="preserve"> </w:t>
            </w:r>
            <w:r w:rsidRPr="00EB24C1">
              <w:rPr>
                <w:rFonts w:ascii="Arial" w:eastAsia="Calibri" w:hAnsi="Arial" w:cs="Arial"/>
                <w:b/>
                <w:sz w:val="22"/>
                <w:szCs w:val="22"/>
              </w:rPr>
              <w:t>of</w:t>
            </w:r>
            <w:r w:rsidRPr="00EB24C1">
              <w:rPr>
                <w:rFonts w:ascii="Arial" w:eastAsia="Calibri" w:hAnsi="Arial" w:cs="Arial"/>
                <w:b/>
                <w:spacing w:val="-3"/>
                <w:sz w:val="22"/>
                <w:szCs w:val="22"/>
              </w:rPr>
              <w:t xml:space="preserve"> </w:t>
            </w:r>
            <w:r w:rsidRPr="00EB24C1">
              <w:rPr>
                <w:rFonts w:ascii="Arial" w:eastAsia="Calibri" w:hAnsi="Arial" w:cs="Arial"/>
                <w:b/>
                <w:spacing w:val="-2"/>
                <w:sz w:val="22"/>
                <w:szCs w:val="22"/>
              </w:rPr>
              <w:t>Document</w:t>
            </w:r>
          </w:p>
          <w:p w14:paraId="1A14F4DF" w14:textId="77777777" w:rsidR="00B32F91" w:rsidRPr="00EB24C1" w:rsidRDefault="00B32F91" w:rsidP="00BD4ACC">
            <w:pPr>
              <w:widowControl w:val="0"/>
              <w:autoSpaceDE w:val="0"/>
              <w:autoSpaceDN w:val="0"/>
              <w:spacing w:line="248" w:lineRule="exact"/>
              <w:ind w:left="107"/>
              <w:rPr>
                <w:rFonts w:ascii="Arial" w:eastAsia="Calibri" w:hAnsi="Arial" w:cs="Arial"/>
                <w:b/>
                <w:sz w:val="22"/>
                <w:szCs w:val="22"/>
              </w:rPr>
            </w:pPr>
          </w:p>
        </w:tc>
        <w:tc>
          <w:tcPr>
            <w:tcW w:w="5640" w:type="dxa"/>
            <w:shd w:val="clear" w:color="auto" w:fill="auto"/>
          </w:tcPr>
          <w:p w14:paraId="3102DD17" w14:textId="77777777" w:rsidR="00B32F91" w:rsidRPr="00EB24C1" w:rsidRDefault="00B32F91" w:rsidP="00BD4ACC">
            <w:pPr>
              <w:widowControl w:val="0"/>
              <w:autoSpaceDE w:val="0"/>
              <w:autoSpaceDN w:val="0"/>
              <w:spacing w:line="248" w:lineRule="exact"/>
              <w:rPr>
                <w:rFonts w:ascii="Arial" w:eastAsia="Calibri" w:hAnsi="Arial" w:cs="Arial"/>
                <w:sz w:val="22"/>
                <w:szCs w:val="22"/>
              </w:rPr>
            </w:pPr>
            <w:r w:rsidRPr="00EB24C1">
              <w:rPr>
                <w:rFonts w:ascii="Arial" w:eastAsia="Calibri" w:hAnsi="Arial" w:cs="Arial"/>
                <w:sz w:val="22"/>
                <w:szCs w:val="22"/>
              </w:rPr>
              <w:t>Access Advice Grant - Terms of Reference</w:t>
            </w:r>
          </w:p>
        </w:tc>
      </w:tr>
      <w:tr w:rsidR="00B32F91" w:rsidRPr="00EB24C1" w14:paraId="370009BE" w14:textId="77777777" w:rsidTr="00CF13C9">
        <w:trPr>
          <w:trHeight w:val="268"/>
        </w:trPr>
        <w:tc>
          <w:tcPr>
            <w:tcW w:w="3761" w:type="dxa"/>
            <w:shd w:val="clear" w:color="auto" w:fill="auto"/>
          </w:tcPr>
          <w:p w14:paraId="527D6134" w14:textId="77777777" w:rsidR="00B32F91" w:rsidRPr="00EB24C1" w:rsidRDefault="00B32F91" w:rsidP="00BD4ACC">
            <w:pPr>
              <w:widowControl w:val="0"/>
              <w:autoSpaceDE w:val="0"/>
              <w:autoSpaceDN w:val="0"/>
              <w:spacing w:line="248" w:lineRule="exact"/>
              <w:ind w:left="107"/>
              <w:rPr>
                <w:rFonts w:ascii="Arial" w:eastAsia="Calibri" w:hAnsi="Arial" w:cs="Arial"/>
                <w:b/>
                <w:sz w:val="22"/>
                <w:szCs w:val="22"/>
              </w:rPr>
            </w:pPr>
            <w:r w:rsidRPr="00EB24C1">
              <w:rPr>
                <w:rFonts w:ascii="Arial" w:eastAsia="Calibri" w:hAnsi="Arial" w:cs="Arial"/>
                <w:b/>
                <w:sz w:val="22"/>
                <w:szCs w:val="22"/>
              </w:rPr>
              <w:t>Version</w:t>
            </w:r>
            <w:r w:rsidRPr="00EB24C1">
              <w:rPr>
                <w:rFonts w:ascii="Arial" w:eastAsia="Calibri" w:hAnsi="Arial" w:cs="Arial"/>
                <w:b/>
                <w:spacing w:val="-5"/>
                <w:sz w:val="22"/>
                <w:szCs w:val="22"/>
              </w:rPr>
              <w:t xml:space="preserve"> No.</w:t>
            </w:r>
          </w:p>
        </w:tc>
        <w:tc>
          <w:tcPr>
            <w:tcW w:w="5640" w:type="dxa"/>
            <w:shd w:val="clear" w:color="auto" w:fill="auto"/>
          </w:tcPr>
          <w:p w14:paraId="2F06E806" w14:textId="77777777" w:rsidR="00B32F91" w:rsidRPr="00EB24C1" w:rsidRDefault="00B32F91" w:rsidP="00BD4ACC">
            <w:pPr>
              <w:widowControl w:val="0"/>
              <w:autoSpaceDE w:val="0"/>
              <w:autoSpaceDN w:val="0"/>
              <w:spacing w:line="248" w:lineRule="exact"/>
              <w:rPr>
                <w:rFonts w:ascii="Arial" w:eastAsia="Calibri" w:hAnsi="Arial" w:cs="Arial"/>
                <w:sz w:val="22"/>
                <w:szCs w:val="22"/>
              </w:rPr>
            </w:pPr>
            <w:r w:rsidRPr="00EB24C1">
              <w:rPr>
                <w:rFonts w:ascii="Arial" w:eastAsia="Calibri" w:hAnsi="Arial" w:cs="Arial"/>
                <w:sz w:val="22"/>
                <w:szCs w:val="22"/>
              </w:rPr>
              <w:t>Version 1</w:t>
            </w:r>
          </w:p>
        </w:tc>
      </w:tr>
      <w:tr w:rsidR="00B32F91" w:rsidRPr="00EB24C1" w14:paraId="136B805D" w14:textId="77777777" w:rsidTr="00CF13C9">
        <w:trPr>
          <w:trHeight w:val="268"/>
        </w:trPr>
        <w:tc>
          <w:tcPr>
            <w:tcW w:w="3761" w:type="dxa"/>
            <w:shd w:val="clear" w:color="auto" w:fill="auto"/>
          </w:tcPr>
          <w:p w14:paraId="17829684" w14:textId="77777777" w:rsidR="00B32F91" w:rsidRPr="00EB24C1" w:rsidRDefault="00B32F91" w:rsidP="00BD4ACC">
            <w:pPr>
              <w:widowControl w:val="0"/>
              <w:autoSpaceDE w:val="0"/>
              <w:autoSpaceDN w:val="0"/>
              <w:spacing w:line="248" w:lineRule="exact"/>
              <w:ind w:left="107"/>
              <w:rPr>
                <w:rFonts w:ascii="Arial" w:eastAsia="Calibri" w:hAnsi="Arial" w:cs="Arial"/>
                <w:b/>
                <w:sz w:val="22"/>
                <w:szCs w:val="22"/>
              </w:rPr>
            </w:pPr>
            <w:r w:rsidRPr="00EB24C1">
              <w:rPr>
                <w:rFonts w:ascii="Arial" w:eastAsia="Calibri" w:hAnsi="Arial" w:cs="Arial"/>
                <w:b/>
                <w:sz w:val="22"/>
                <w:szCs w:val="22"/>
              </w:rPr>
              <w:t>Name and Role of Document</w:t>
            </w:r>
            <w:r w:rsidRPr="00EB24C1">
              <w:rPr>
                <w:rFonts w:ascii="Arial" w:eastAsia="Calibri" w:hAnsi="Arial" w:cs="Arial"/>
                <w:b/>
                <w:spacing w:val="-7"/>
                <w:sz w:val="22"/>
                <w:szCs w:val="22"/>
              </w:rPr>
              <w:t xml:space="preserve"> </w:t>
            </w:r>
            <w:r w:rsidRPr="00EB24C1">
              <w:rPr>
                <w:rFonts w:ascii="Arial" w:eastAsia="Calibri" w:hAnsi="Arial" w:cs="Arial"/>
                <w:b/>
                <w:spacing w:val="-2"/>
                <w:sz w:val="22"/>
                <w:szCs w:val="22"/>
              </w:rPr>
              <w:t>Owner</w:t>
            </w:r>
          </w:p>
        </w:tc>
        <w:tc>
          <w:tcPr>
            <w:tcW w:w="5640" w:type="dxa"/>
            <w:shd w:val="clear" w:color="auto" w:fill="auto"/>
          </w:tcPr>
          <w:p w14:paraId="07D50D4A" w14:textId="77777777" w:rsidR="00B32F91" w:rsidRPr="00EB24C1" w:rsidRDefault="00B32F91" w:rsidP="00BD4ACC">
            <w:pPr>
              <w:widowControl w:val="0"/>
              <w:autoSpaceDE w:val="0"/>
              <w:autoSpaceDN w:val="0"/>
              <w:spacing w:line="248" w:lineRule="exact"/>
              <w:rPr>
                <w:rFonts w:ascii="Arial" w:eastAsia="Calibri" w:hAnsi="Arial" w:cs="Arial"/>
                <w:sz w:val="22"/>
                <w:szCs w:val="22"/>
              </w:rPr>
            </w:pPr>
            <w:r w:rsidRPr="00EB24C1">
              <w:rPr>
                <w:rFonts w:ascii="Arial" w:eastAsia="Calibri" w:hAnsi="Arial" w:cs="Arial"/>
                <w:sz w:val="22"/>
                <w:szCs w:val="22"/>
              </w:rPr>
              <w:t>Department Manager, Product Portfolio Management</w:t>
            </w:r>
          </w:p>
        </w:tc>
      </w:tr>
      <w:tr w:rsidR="00B32F91" w:rsidRPr="00EB24C1" w14:paraId="46CE2449" w14:textId="77777777" w:rsidTr="00CF13C9">
        <w:trPr>
          <w:trHeight w:val="450"/>
        </w:trPr>
        <w:tc>
          <w:tcPr>
            <w:tcW w:w="3761" w:type="dxa"/>
            <w:shd w:val="clear" w:color="auto" w:fill="auto"/>
          </w:tcPr>
          <w:p w14:paraId="1E283745" w14:textId="77777777" w:rsidR="00B32F91" w:rsidRPr="00EB24C1" w:rsidRDefault="00B32F91" w:rsidP="00BD4ACC">
            <w:pPr>
              <w:widowControl w:val="0"/>
              <w:autoSpaceDE w:val="0"/>
              <w:autoSpaceDN w:val="0"/>
              <w:spacing w:line="268" w:lineRule="exact"/>
              <w:ind w:left="107"/>
              <w:rPr>
                <w:rFonts w:ascii="Arial" w:eastAsia="Calibri" w:hAnsi="Arial" w:cs="Arial"/>
                <w:b/>
                <w:sz w:val="22"/>
                <w:szCs w:val="22"/>
              </w:rPr>
            </w:pPr>
            <w:r w:rsidRPr="00EB24C1">
              <w:rPr>
                <w:rFonts w:ascii="Arial" w:eastAsia="Calibri" w:hAnsi="Arial" w:cs="Arial"/>
                <w:b/>
                <w:sz w:val="22"/>
                <w:szCs w:val="22"/>
              </w:rPr>
              <w:t>Reviewing</w:t>
            </w:r>
            <w:r w:rsidRPr="00EB24C1">
              <w:rPr>
                <w:rFonts w:ascii="Arial" w:eastAsia="Calibri" w:hAnsi="Arial" w:cs="Arial"/>
                <w:b/>
                <w:spacing w:val="-8"/>
                <w:sz w:val="22"/>
                <w:szCs w:val="22"/>
              </w:rPr>
              <w:t xml:space="preserve"> </w:t>
            </w:r>
            <w:r w:rsidRPr="00EB24C1">
              <w:rPr>
                <w:rFonts w:ascii="Arial" w:eastAsia="Calibri" w:hAnsi="Arial" w:cs="Arial"/>
                <w:b/>
                <w:spacing w:val="-2"/>
                <w:sz w:val="22"/>
                <w:szCs w:val="22"/>
              </w:rPr>
              <w:t>Committees</w:t>
            </w:r>
          </w:p>
        </w:tc>
        <w:tc>
          <w:tcPr>
            <w:tcW w:w="5640" w:type="dxa"/>
            <w:shd w:val="clear" w:color="auto" w:fill="auto"/>
          </w:tcPr>
          <w:p w14:paraId="07DD107C" w14:textId="77777777" w:rsidR="00B32F91" w:rsidRPr="00EB24C1" w:rsidRDefault="00B32F91" w:rsidP="00BD4ACC">
            <w:pPr>
              <w:widowControl w:val="0"/>
              <w:autoSpaceDE w:val="0"/>
              <w:autoSpaceDN w:val="0"/>
              <w:spacing w:line="249" w:lineRule="exact"/>
              <w:rPr>
                <w:rFonts w:ascii="Arial" w:eastAsia="Calibri" w:hAnsi="Arial" w:cs="Arial"/>
                <w:sz w:val="22"/>
                <w:szCs w:val="22"/>
              </w:rPr>
            </w:pPr>
            <w:r w:rsidRPr="00EB24C1">
              <w:rPr>
                <w:rFonts w:ascii="Arial" w:eastAsia="Calibri" w:hAnsi="Arial" w:cs="Arial"/>
                <w:sz w:val="22"/>
                <w:szCs w:val="22"/>
              </w:rPr>
              <w:t>Executive Committee</w:t>
            </w:r>
          </w:p>
        </w:tc>
      </w:tr>
      <w:tr w:rsidR="00B32F91" w:rsidRPr="00EB24C1" w14:paraId="4EDE12C5" w14:textId="77777777" w:rsidTr="00CF13C9">
        <w:trPr>
          <w:trHeight w:val="268"/>
        </w:trPr>
        <w:tc>
          <w:tcPr>
            <w:tcW w:w="3761" w:type="dxa"/>
            <w:shd w:val="clear" w:color="auto" w:fill="auto"/>
          </w:tcPr>
          <w:p w14:paraId="6D52EA0C" w14:textId="77777777" w:rsidR="00B32F91" w:rsidRPr="00EB24C1" w:rsidRDefault="00B32F91" w:rsidP="00BD4ACC">
            <w:pPr>
              <w:widowControl w:val="0"/>
              <w:autoSpaceDE w:val="0"/>
              <w:autoSpaceDN w:val="0"/>
              <w:spacing w:line="248" w:lineRule="exact"/>
              <w:ind w:left="107"/>
              <w:rPr>
                <w:rFonts w:ascii="Arial" w:eastAsia="Calibri" w:hAnsi="Arial" w:cs="Arial"/>
                <w:b/>
                <w:sz w:val="22"/>
                <w:szCs w:val="22"/>
              </w:rPr>
            </w:pPr>
            <w:r w:rsidRPr="00EB24C1">
              <w:rPr>
                <w:rFonts w:ascii="Arial" w:eastAsia="Calibri" w:hAnsi="Arial" w:cs="Arial"/>
                <w:b/>
                <w:sz w:val="22"/>
                <w:szCs w:val="22"/>
              </w:rPr>
              <w:t>Date</w:t>
            </w:r>
            <w:r w:rsidRPr="00EB24C1">
              <w:rPr>
                <w:rFonts w:ascii="Arial" w:eastAsia="Calibri" w:hAnsi="Arial" w:cs="Arial"/>
                <w:b/>
                <w:spacing w:val="-2"/>
                <w:sz w:val="22"/>
                <w:szCs w:val="22"/>
              </w:rPr>
              <w:t xml:space="preserve"> </w:t>
            </w:r>
            <w:r w:rsidRPr="00EB24C1">
              <w:rPr>
                <w:rFonts w:ascii="Arial" w:eastAsia="Calibri" w:hAnsi="Arial" w:cs="Arial"/>
                <w:b/>
                <w:sz w:val="22"/>
                <w:szCs w:val="22"/>
              </w:rPr>
              <w:t>of</w:t>
            </w:r>
            <w:r w:rsidRPr="00EB24C1">
              <w:rPr>
                <w:rFonts w:ascii="Arial" w:eastAsia="Calibri" w:hAnsi="Arial" w:cs="Arial"/>
                <w:b/>
                <w:spacing w:val="-3"/>
                <w:sz w:val="22"/>
                <w:szCs w:val="22"/>
              </w:rPr>
              <w:t xml:space="preserve"> </w:t>
            </w:r>
            <w:r w:rsidRPr="00EB24C1">
              <w:rPr>
                <w:rFonts w:ascii="Arial" w:eastAsia="Calibri" w:hAnsi="Arial" w:cs="Arial"/>
                <w:b/>
                <w:sz w:val="22"/>
                <w:szCs w:val="22"/>
              </w:rPr>
              <w:t>Next</w:t>
            </w:r>
            <w:r w:rsidRPr="00EB24C1">
              <w:rPr>
                <w:rFonts w:ascii="Arial" w:eastAsia="Calibri" w:hAnsi="Arial" w:cs="Arial"/>
                <w:b/>
                <w:spacing w:val="-4"/>
                <w:sz w:val="22"/>
                <w:szCs w:val="22"/>
              </w:rPr>
              <w:t xml:space="preserve"> </w:t>
            </w:r>
            <w:r w:rsidRPr="00EB24C1">
              <w:rPr>
                <w:rFonts w:ascii="Arial" w:eastAsia="Calibri" w:hAnsi="Arial" w:cs="Arial"/>
                <w:b/>
                <w:spacing w:val="-2"/>
                <w:sz w:val="22"/>
                <w:szCs w:val="22"/>
              </w:rPr>
              <w:t>Review</w:t>
            </w:r>
          </w:p>
        </w:tc>
        <w:tc>
          <w:tcPr>
            <w:tcW w:w="5640" w:type="dxa"/>
            <w:shd w:val="clear" w:color="auto" w:fill="auto"/>
          </w:tcPr>
          <w:p w14:paraId="20E9ACEC" w14:textId="77777777" w:rsidR="00B32F91" w:rsidRPr="00EB24C1" w:rsidRDefault="00B32F91" w:rsidP="00BD4ACC">
            <w:pPr>
              <w:widowControl w:val="0"/>
              <w:autoSpaceDE w:val="0"/>
              <w:autoSpaceDN w:val="0"/>
              <w:spacing w:line="248" w:lineRule="exact"/>
              <w:rPr>
                <w:rFonts w:ascii="Arial" w:eastAsia="Calibri" w:hAnsi="Arial" w:cs="Arial"/>
                <w:sz w:val="22"/>
                <w:szCs w:val="22"/>
              </w:rPr>
            </w:pPr>
            <w:r w:rsidRPr="00EB24C1">
              <w:rPr>
                <w:rFonts w:ascii="Arial" w:eastAsia="Calibri" w:hAnsi="Arial" w:cs="Arial"/>
                <w:sz w:val="22"/>
                <w:szCs w:val="22"/>
              </w:rPr>
              <w:t>As required</w:t>
            </w:r>
          </w:p>
          <w:p w14:paraId="3F9B9634" w14:textId="77777777" w:rsidR="00B32F91" w:rsidRPr="00EB24C1" w:rsidRDefault="00B32F91" w:rsidP="00BD4ACC">
            <w:pPr>
              <w:widowControl w:val="0"/>
              <w:autoSpaceDE w:val="0"/>
              <w:autoSpaceDN w:val="0"/>
              <w:spacing w:line="248" w:lineRule="exact"/>
              <w:rPr>
                <w:rFonts w:ascii="Arial" w:eastAsia="Calibri" w:hAnsi="Arial" w:cs="Arial"/>
                <w:sz w:val="22"/>
                <w:szCs w:val="22"/>
              </w:rPr>
            </w:pPr>
          </w:p>
        </w:tc>
      </w:tr>
      <w:tr w:rsidR="00B32F91" w:rsidRPr="00EB24C1" w14:paraId="1CB4B4C6" w14:textId="77777777" w:rsidTr="00CF13C9">
        <w:trPr>
          <w:trHeight w:val="268"/>
        </w:trPr>
        <w:tc>
          <w:tcPr>
            <w:tcW w:w="3761" w:type="dxa"/>
            <w:shd w:val="clear" w:color="auto" w:fill="auto"/>
          </w:tcPr>
          <w:p w14:paraId="3882ED27" w14:textId="77777777" w:rsidR="00B32F91" w:rsidRPr="00EB24C1" w:rsidRDefault="00B32F91" w:rsidP="00BD4ACC">
            <w:pPr>
              <w:widowControl w:val="0"/>
              <w:autoSpaceDE w:val="0"/>
              <w:autoSpaceDN w:val="0"/>
              <w:spacing w:line="248" w:lineRule="exact"/>
              <w:ind w:left="107"/>
              <w:rPr>
                <w:rFonts w:ascii="Arial" w:eastAsia="Calibri" w:hAnsi="Arial" w:cs="Arial"/>
                <w:b/>
                <w:sz w:val="22"/>
                <w:szCs w:val="22"/>
              </w:rPr>
            </w:pPr>
            <w:r w:rsidRPr="00EB24C1">
              <w:rPr>
                <w:rFonts w:ascii="Arial" w:eastAsia="Calibri" w:hAnsi="Arial" w:cs="Arial"/>
                <w:b/>
                <w:sz w:val="22"/>
                <w:szCs w:val="22"/>
              </w:rPr>
              <w:t>Frequency</w:t>
            </w:r>
            <w:r w:rsidRPr="00EB24C1">
              <w:rPr>
                <w:rFonts w:ascii="Arial" w:eastAsia="Calibri" w:hAnsi="Arial" w:cs="Arial"/>
                <w:b/>
                <w:spacing w:val="-3"/>
                <w:sz w:val="22"/>
                <w:szCs w:val="22"/>
              </w:rPr>
              <w:t xml:space="preserve"> </w:t>
            </w:r>
            <w:r w:rsidRPr="00EB24C1">
              <w:rPr>
                <w:rFonts w:ascii="Arial" w:eastAsia="Calibri" w:hAnsi="Arial" w:cs="Arial"/>
                <w:b/>
                <w:sz w:val="22"/>
                <w:szCs w:val="22"/>
              </w:rPr>
              <w:t>of</w:t>
            </w:r>
            <w:r w:rsidRPr="00EB24C1">
              <w:rPr>
                <w:rFonts w:ascii="Arial" w:eastAsia="Calibri" w:hAnsi="Arial" w:cs="Arial"/>
                <w:b/>
                <w:spacing w:val="-3"/>
                <w:sz w:val="22"/>
                <w:szCs w:val="22"/>
              </w:rPr>
              <w:t xml:space="preserve"> </w:t>
            </w:r>
            <w:r w:rsidRPr="00EB24C1">
              <w:rPr>
                <w:rFonts w:ascii="Arial" w:eastAsia="Calibri" w:hAnsi="Arial" w:cs="Arial"/>
                <w:b/>
                <w:spacing w:val="-2"/>
                <w:sz w:val="22"/>
                <w:szCs w:val="22"/>
              </w:rPr>
              <w:t>Review</w:t>
            </w:r>
          </w:p>
        </w:tc>
        <w:tc>
          <w:tcPr>
            <w:tcW w:w="5640" w:type="dxa"/>
            <w:shd w:val="clear" w:color="auto" w:fill="auto"/>
          </w:tcPr>
          <w:p w14:paraId="11D0C5FD" w14:textId="77777777" w:rsidR="00B32F91" w:rsidRPr="00EB24C1" w:rsidRDefault="00B32F91" w:rsidP="00BD4ACC">
            <w:pPr>
              <w:widowControl w:val="0"/>
              <w:autoSpaceDE w:val="0"/>
              <w:autoSpaceDN w:val="0"/>
              <w:spacing w:line="248" w:lineRule="exact"/>
              <w:rPr>
                <w:rFonts w:ascii="Arial" w:eastAsia="Calibri" w:hAnsi="Arial" w:cs="Arial"/>
                <w:spacing w:val="-2"/>
                <w:sz w:val="22"/>
                <w:szCs w:val="22"/>
              </w:rPr>
            </w:pPr>
            <w:r w:rsidRPr="00EB24C1">
              <w:rPr>
                <w:rFonts w:ascii="Arial" w:eastAsia="Calibri" w:hAnsi="Arial" w:cs="Arial"/>
                <w:spacing w:val="-2"/>
                <w:sz w:val="22"/>
                <w:szCs w:val="22"/>
              </w:rPr>
              <w:t>As required</w:t>
            </w:r>
          </w:p>
          <w:p w14:paraId="11484611" w14:textId="77777777" w:rsidR="00B32F91" w:rsidRPr="00EB24C1" w:rsidRDefault="00B32F91" w:rsidP="00BD4ACC">
            <w:pPr>
              <w:widowControl w:val="0"/>
              <w:autoSpaceDE w:val="0"/>
              <w:autoSpaceDN w:val="0"/>
              <w:spacing w:line="248" w:lineRule="exact"/>
              <w:rPr>
                <w:rFonts w:ascii="Arial" w:eastAsia="Calibri" w:hAnsi="Arial" w:cs="Arial"/>
                <w:sz w:val="22"/>
                <w:szCs w:val="22"/>
              </w:rPr>
            </w:pPr>
          </w:p>
        </w:tc>
      </w:tr>
      <w:tr w:rsidR="00B32F91" w:rsidRPr="00EB24C1" w14:paraId="67C43118" w14:textId="77777777" w:rsidTr="00CF13C9">
        <w:trPr>
          <w:trHeight w:val="538"/>
        </w:trPr>
        <w:tc>
          <w:tcPr>
            <w:tcW w:w="3761" w:type="dxa"/>
            <w:shd w:val="clear" w:color="auto" w:fill="auto"/>
          </w:tcPr>
          <w:p w14:paraId="5B87C50D" w14:textId="77777777" w:rsidR="00B32F91" w:rsidRPr="00EB24C1" w:rsidRDefault="00B32F91" w:rsidP="00BD4ACC">
            <w:pPr>
              <w:widowControl w:val="0"/>
              <w:autoSpaceDE w:val="0"/>
              <w:autoSpaceDN w:val="0"/>
              <w:spacing w:line="268" w:lineRule="exact"/>
              <w:ind w:left="107"/>
              <w:rPr>
                <w:rFonts w:ascii="Arial" w:eastAsia="Calibri" w:hAnsi="Arial" w:cs="Arial"/>
                <w:b/>
                <w:sz w:val="22"/>
                <w:szCs w:val="22"/>
              </w:rPr>
            </w:pPr>
            <w:r w:rsidRPr="00EB24C1">
              <w:rPr>
                <w:rFonts w:ascii="Arial" w:eastAsia="Calibri" w:hAnsi="Arial" w:cs="Arial"/>
                <w:b/>
                <w:spacing w:val="-2"/>
                <w:sz w:val="22"/>
                <w:szCs w:val="22"/>
              </w:rPr>
              <w:t>Filing Location</w:t>
            </w:r>
          </w:p>
        </w:tc>
        <w:tc>
          <w:tcPr>
            <w:tcW w:w="5640" w:type="dxa"/>
            <w:shd w:val="clear" w:color="auto" w:fill="auto"/>
          </w:tcPr>
          <w:p w14:paraId="029F7B9D" w14:textId="77777777" w:rsidR="00B32F91" w:rsidRPr="00EB24C1" w:rsidRDefault="00B32F91" w:rsidP="000B7C8D">
            <w:pPr>
              <w:rPr>
                <w:rFonts w:ascii="Arial" w:hAnsi="Arial" w:cs="Arial"/>
                <w:sz w:val="22"/>
                <w:szCs w:val="22"/>
              </w:rPr>
            </w:pPr>
            <w:hyperlink r:id="rId13" w:history="1">
              <w:r w:rsidRPr="00EB24C1">
                <w:rPr>
                  <w:rStyle w:val="Hyperlink"/>
                  <w:rFonts w:ascii="Arial" w:hAnsi="Arial" w:cs="Arial"/>
                  <w:sz w:val="22"/>
                  <w:szCs w:val="22"/>
                </w:rPr>
                <w:t>The Guide to Supporting Clients - Terms of Reference - All Documents (sharepoint.com)</w:t>
              </w:r>
            </w:hyperlink>
          </w:p>
          <w:p w14:paraId="3B55DB20" w14:textId="77777777" w:rsidR="00B32F91" w:rsidRPr="00EB24C1" w:rsidRDefault="00B32F91" w:rsidP="00BD4ACC">
            <w:pPr>
              <w:widowControl w:val="0"/>
              <w:autoSpaceDE w:val="0"/>
              <w:autoSpaceDN w:val="0"/>
              <w:spacing w:before="1" w:line="249" w:lineRule="exact"/>
              <w:rPr>
                <w:rFonts w:ascii="Arial" w:eastAsia="Calibri" w:hAnsi="Arial" w:cs="Arial"/>
                <w:sz w:val="22"/>
                <w:szCs w:val="22"/>
              </w:rPr>
            </w:pPr>
          </w:p>
        </w:tc>
      </w:tr>
      <w:tr w:rsidR="00B32F91" w:rsidRPr="00EB24C1" w14:paraId="0540375F" w14:textId="77777777" w:rsidTr="00CF13C9">
        <w:trPr>
          <w:trHeight w:val="268"/>
        </w:trPr>
        <w:tc>
          <w:tcPr>
            <w:tcW w:w="3761" w:type="dxa"/>
            <w:shd w:val="clear" w:color="auto" w:fill="auto"/>
          </w:tcPr>
          <w:p w14:paraId="6C9C47B9" w14:textId="77777777" w:rsidR="00B32F91" w:rsidRPr="00EB24C1" w:rsidRDefault="00B32F91" w:rsidP="00BD4ACC">
            <w:pPr>
              <w:widowControl w:val="0"/>
              <w:autoSpaceDE w:val="0"/>
              <w:autoSpaceDN w:val="0"/>
              <w:spacing w:line="248" w:lineRule="exact"/>
              <w:ind w:left="107"/>
              <w:rPr>
                <w:rFonts w:ascii="Arial" w:eastAsia="Calibri" w:hAnsi="Arial" w:cs="Arial"/>
                <w:b/>
                <w:sz w:val="22"/>
                <w:szCs w:val="22"/>
              </w:rPr>
            </w:pPr>
            <w:r w:rsidRPr="00EB24C1">
              <w:rPr>
                <w:rFonts w:ascii="Arial" w:eastAsia="Calibri" w:hAnsi="Arial" w:cs="Arial"/>
                <w:b/>
                <w:sz w:val="22"/>
                <w:szCs w:val="22"/>
              </w:rPr>
              <w:t>Sharing</w:t>
            </w:r>
            <w:r w:rsidRPr="00EB24C1">
              <w:rPr>
                <w:rFonts w:ascii="Arial" w:eastAsia="Calibri" w:hAnsi="Arial" w:cs="Arial"/>
                <w:b/>
                <w:spacing w:val="-8"/>
                <w:sz w:val="22"/>
                <w:szCs w:val="22"/>
              </w:rPr>
              <w:t xml:space="preserve"> </w:t>
            </w:r>
            <w:r w:rsidRPr="00EB24C1">
              <w:rPr>
                <w:rFonts w:ascii="Arial" w:eastAsia="Calibri" w:hAnsi="Arial" w:cs="Arial"/>
                <w:b/>
                <w:spacing w:val="-2"/>
                <w:sz w:val="22"/>
                <w:szCs w:val="22"/>
              </w:rPr>
              <w:t>Rules</w:t>
            </w:r>
          </w:p>
        </w:tc>
        <w:tc>
          <w:tcPr>
            <w:tcW w:w="5640" w:type="dxa"/>
            <w:shd w:val="clear" w:color="auto" w:fill="auto"/>
          </w:tcPr>
          <w:p w14:paraId="42787486" w14:textId="77777777" w:rsidR="00B32F91" w:rsidRPr="00EB24C1" w:rsidRDefault="00B32F91" w:rsidP="00BD4ACC">
            <w:pPr>
              <w:widowControl w:val="0"/>
              <w:autoSpaceDE w:val="0"/>
              <w:autoSpaceDN w:val="0"/>
              <w:spacing w:line="248" w:lineRule="exact"/>
              <w:rPr>
                <w:rFonts w:ascii="Arial" w:eastAsia="Calibri" w:hAnsi="Arial" w:cs="Arial"/>
                <w:spacing w:val="-5"/>
                <w:sz w:val="22"/>
                <w:szCs w:val="22"/>
              </w:rPr>
            </w:pPr>
            <w:r w:rsidRPr="00EB24C1">
              <w:rPr>
                <w:rFonts w:ascii="Arial" w:eastAsia="Calibri" w:hAnsi="Arial" w:cs="Arial"/>
                <w:sz w:val="22"/>
                <w:szCs w:val="22"/>
              </w:rPr>
              <w:t>Are</w:t>
            </w:r>
            <w:r w:rsidRPr="00EB24C1">
              <w:rPr>
                <w:rFonts w:ascii="Arial" w:eastAsia="Calibri" w:hAnsi="Arial" w:cs="Arial"/>
                <w:spacing w:val="-4"/>
                <w:sz w:val="22"/>
                <w:szCs w:val="22"/>
              </w:rPr>
              <w:t xml:space="preserve"> </w:t>
            </w:r>
            <w:r w:rsidRPr="00EB24C1">
              <w:rPr>
                <w:rFonts w:ascii="Arial" w:eastAsia="Calibri" w:hAnsi="Arial" w:cs="Arial"/>
                <w:sz w:val="22"/>
                <w:szCs w:val="22"/>
              </w:rPr>
              <w:t>there</w:t>
            </w:r>
            <w:r w:rsidRPr="00EB24C1">
              <w:rPr>
                <w:rFonts w:ascii="Arial" w:eastAsia="Calibri" w:hAnsi="Arial" w:cs="Arial"/>
                <w:spacing w:val="-2"/>
                <w:sz w:val="22"/>
                <w:szCs w:val="22"/>
              </w:rPr>
              <w:t xml:space="preserve"> </w:t>
            </w:r>
            <w:r w:rsidRPr="00EB24C1">
              <w:rPr>
                <w:rFonts w:ascii="Arial" w:eastAsia="Calibri" w:hAnsi="Arial" w:cs="Arial"/>
                <w:sz w:val="22"/>
                <w:szCs w:val="22"/>
              </w:rPr>
              <w:t>restrictions</w:t>
            </w:r>
            <w:r w:rsidRPr="00EB24C1">
              <w:rPr>
                <w:rFonts w:ascii="Arial" w:eastAsia="Calibri" w:hAnsi="Arial" w:cs="Arial"/>
                <w:spacing w:val="-5"/>
                <w:sz w:val="22"/>
                <w:szCs w:val="22"/>
              </w:rPr>
              <w:t xml:space="preserve"> </w:t>
            </w:r>
            <w:r w:rsidRPr="00EB24C1">
              <w:rPr>
                <w:rFonts w:ascii="Arial" w:eastAsia="Calibri" w:hAnsi="Arial" w:cs="Arial"/>
                <w:sz w:val="22"/>
                <w:szCs w:val="22"/>
              </w:rPr>
              <w:t>on</w:t>
            </w:r>
            <w:r w:rsidRPr="00EB24C1">
              <w:rPr>
                <w:rFonts w:ascii="Arial" w:eastAsia="Calibri" w:hAnsi="Arial" w:cs="Arial"/>
                <w:spacing w:val="-4"/>
                <w:sz w:val="22"/>
                <w:szCs w:val="22"/>
              </w:rPr>
              <w:t xml:space="preserve"> </w:t>
            </w:r>
            <w:r w:rsidRPr="00EB24C1">
              <w:rPr>
                <w:rFonts w:ascii="Arial" w:eastAsia="Calibri" w:hAnsi="Arial" w:cs="Arial"/>
                <w:sz w:val="22"/>
                <w:szCs w:val="22"/>
              </w:rPr>
              <w:t>sharing</w:t>
            </w:r>
            <w:r w:rsidRPr="00EB24C1">
              <w:rPr>
                <w:rFonts w:ascii="Arial" w:eastAsia="Calibri" w:hAnsi="Arial" w:cs="Arial"/>
                <w:spacing w:val="-4"/>
                <w:sz w:val="22"/>
                <w:szCs w:val="22"/>
              </w:rPr>
              <w:t xml:space="preserve"> </w:t>
            </w:r>
            <w:r w:rsidRPr="00EB24C1">
              <w:rPr>
                <w:rFonts w:ascii="Arial" w:eastAsia="Calibri" w:hAnsi="Arial" w:cs="Arial"/>
                <w:sz w:val="22"/>
                <w:szCs w:val="22"/>
              </w:rPr>
              <w:t>the</w:t>
            </w:r>
            <w:r w:rsidRPr="00EB24C1">
              <w:rPr>
                <w:rFonts w:ascii="Arial" w:eastAsia="Calibri" w:hAnsi="Arial" w:cs="Arial"/>
                <w:spacing w:val="-2"/>
                <w:sz w:val="22"/>
                <w:szCs w:val="22"/>
              </w:rPr>
              <w:t xml:space="preserve"> </w:t>
            </w:r>
            <w:r w:rsidRPr="00EB24C1">
              <w:rPr>
                <w:rFonts w:ascii="Arial" w:eastAsia="Calibri" w:hAnsi="Arial" w:cs="Arial"/>
                <w:sz w:val="22"/>
                <w:szCs w:val="22"/>
              </w:rPr>
              <w:t>policy:</w:t>
            </w:r>
            <w:r w:rsidRPr="00EB24C1">
              <w:rPr>
                <w:rFonts w:ascii="Arial" w:eastAsia="Calibri" w:hAnsi="Arial" w:cs="Arial"/>
                <w:spacing w:val="-4"/>
                <w:sz w:val="22"/>
                <w:szCs w:val="22"/>
              </w:rPr>
              <w:t xml:space="preserve"> TOR for internal use</w:t>
            </w:r>
          </w:p>
          <w:p w14:paraId="221B1D4F" w14:textId="77777777" w:rsidR="00B32F91" w:rsidRPr="00EB24C1" w:rsidRDefault="00B32F91" w:rsidP="00BD4ACC">
            <w:pPr>
              <w:widowControl w:val="0"/>
              <w:autoSpaceDE w:val="0"/>
              <w:autoSpaceDN w:val="0"/>
              <w:spacing w:line="248" w:lineRule="exact"/>
              <w:rPr>
                <w:rFonts w:ascii="Arial" w:eastAsia="Calibri" w:hAnsi="Arial" w:cs="Arial"/>
                <w:color w:val="FF0000"/>
                <w:sz w:val="22"/>
                <w:szCs w:val="22"/>
              </w:rPr>
            </w:pPr>
          </w:p>
        </w:tc>
      </w:tr>
    </w:tbl>
    <w:p w14:paraId="0B98D88F" w14:textId="77777777" w:rsidR="00B32F91" w:rsidRPr="00EB24C1" w:rsidRDefault="00B32F91" w:rsidP="00BD4ACC">
      <w:pPr>
        <w:widowControl w:val="0"/>
        <w:autoSpaceDE w:val="0"/>
        <w:autoSpaceDN w:val="0"/>
        <w:ind w:firstLine="720"/>
        <w:rPr>
          <w:rFonts w:ascii="Arial" w:eastAsia="Calibri" w:hAnsi="Arial" w:cs="Arial"/>
          <w:sz w:val="22"/>
          <w:szCs w:val="22"/>
        </w:rPr>
      </w:pPr>
    </w:p>
    <w:p w14:paraId="01B89D66" w14:textId="77777777" w:rsidR="00B32F91" w:rsidRDefault="00B32F91" w:rsidP="00BD4ACC">
      <w:pPr>
        <w:widowControl w:val="0"/>
        <w:autoSpaceDE w:val="0"/>
        <w:autoSpaceDN w:val="0"/>
        <w:ind w:firstLine="720"/>
        <w:rPr>
          <w:rFonts w:eastAsia="Calibri" w:cstheme="minorHAnsi"/>
          <w:sz w:val="22"/>
          <w:szCs w:val="22"/>
        </w:rPr>
      </w:pPr>
    </w:p>
    <w:p w14:paraId="227B156B" w14:textId="77777777" w:rsidR="00B32F91" w:rsidRDefault="00B32F91" w:rsidP="00BD4ACC">
      <w:pPr>
        <w:widowControl w:val="0"/>
        <w:autoSpaceDE w:val="0"/>
        <w:autoSpaceDN w:val="0"/>
        <w:ind w:firstLine="720"/>
        <w:rPr>
          <w:rFonts w:eastAsia="Calibri" w:cstheme="minorHAnsi"/>
          <w:sz w:val="22"/>
          <w:szCs w:val="22"/>
        </w:rPr>
      </w:pPr>
    </w:p>
    <w:p w14:paraId="66F168A9" w14:textId="77777777" w:rsidR="00B32F91" w:rsidRPr="00BD4ACC" w:rsidRDefault="00B32F91" w:rsidP="00BD4ACC">
      <w:pPr>
        <w:widowControl w:val="0"/>
        <w:autoSpaceDE w:val="0"/>
        <w:autoSpaceDN w:val="0"/>
        <w:ind w:firstLine="720"/>
        <w:rPr>
          <w:rFonts w:eastAsia="Calibri" w:cstheme="minorHAnsi"/>
          <w:sz w:val="22"/>
          <w:szCs w:val="22"/>
        </w:rPr>
      </w:pPr>
    </w:p>
    <w:p w14:paraId="5649147A" w14:textId="77777777" w:rsidR="00B32F91" w:rsidRPr="00EB24C1" w:rsidRDefault="00B32F91" w:rsidP="00BD4ACC">
      <w:pPr>
        <w:widowControl w:val="0"/>
        <w:autoSpaceDE w:val="0"/>
        <w:autoSpaceDN w:val="0"/>
        <w:rPr>
          <w:rFonts w:ascii="Arial" w:eastAsia="Calibri" w:hAnsi="Arial" w:cs="Arial"/>
          <w:b/>
          <w:bCs/>
          <w:spacing w:val="-2"/>
          <w:sz w:val="22"/>
          <w:szCs w:val="22"/>
        </w:rPr>
      </w:pPr>
      <w:r w:rsidRPr="00EB24C1">
        <w:rPr>
          <w:rFonts w:ascii="Arial" w:eastAsia="Calibri" w:hAnsi="Arial" w:cs="Arial"/>
          <w:b/>
          <w:bCs/>
          <w:sz w:val="22"/>
          <w:szCs w:val="22"/>
        </w:rPr>
        <w:t xml:space="preserve">Document History </w:t>
      </w:r>
    </w:p>
    <w:p w14:paraId="4CA37A8A" w14:textId="77777777" w:rsidR="00B32F91" w:rsidRPr="00EB24C1" w:rsidRDefault="00B32F91" w:rsidP="00BD4ACC">
      <w:pPr>
        <w:widowControl w:val="0"/>
        <w:autoSpaceDE w:val="0"/>
        <w:autoSpaceDN w:val="0"/>
        <w:spacing w:before="4"/>
        <w:rPr>
          <w:rFonts w:ascii="Arial" w:eastAsia="Calibri" w:hAnsi="Arial" w:cs="Arial"/>
          <w:sz w:val="22"/>
          <w:szCs w:val="22"/>
        </w:rPr>
      </w:pPr>
    </w:p>
    <w:tbl>
      <w:tblPr>
        <w:tblpPr w:leftFromText="180" w:rightFromText="180" w:vertAnchor="text" w:horzAnchor="margin" w:tblpY="40"/>
        <w:tblW w:w="9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2969"/>
        <w:gridCol w:w="3067"/>
        <w:gridCol w:w="1967"/>
      </w:tblGrid>
      <w:tr w:rsidR="00B32F91" w:rsidRPr="00EB24C1" w14:paraId="70227C42" w14:textId="77777777" w:rsidTr="00CF13C9">
        <w:trPr>
          <w:trHeight w:val="274"/>
        </w:trPr>
        <w:tc>
          <w:tcPr>
            <w:tcW w:w="1385" w:type="dxa"/>
          </w:tcPr>
          <w:p w14:paraId="36A0E164" w14:textId="77777777" w:rsidR="00B32F91" w:rsidRPr="00EB24C1" w:rsidRDefault="00B32F91" w:rsidP="00BD4ACC">
            <w:pPr>
              <w:widowControl w:val="0"/>
              <w:autoSpaceDE w:val="0"/>
              <w:autoSpaceDN w:val="0"/>
              <w:spacing w:line="248" w:lineRule="exact"/>
              <w:ind w:left="107"/>
              <w:rPr>
                <w:rFonts w:ascii="Arial" w:eastAsia="Calibri" w:hAnsi="Arial" w:cs="Arial"/>
                <w:b/>
                <w:sz w:val="22"/>
                <w:szCs w:val="22"/>
              </w:rPr>
            </w:pPr>
            <w:r w:rsidRPr="00EB24C1">
              <w:rPr>
                <w:rFonts w:ascii="Arial" w:eastAsia="Calibri" w:hAnsi="Arial" w:cs="Arial"/>
                <w:b/>
                <w:sz w:val="22"/>
                <w:szCs w:val="22"/>
              </w:rPr>
              <w:t>Review</w:t>
            </w:r>
            <w:r w:rsidRPr="00EB24C1">
              <w:rPr>
                <w:rFonts w:ascii="Arial" w:eastAsia="Calibri" w:hAnsi="Arial" w:cs="Arial"/>
                <w:b/>
                <w:spacing w:val="-5"/>
                <w:sz w:val="22"/>
                <w:szCs w:val="22"/>
              </w:rPr>
              <w:t xml:space="preserve"> No.</w:t>
            </w:r>
          </w:p>
        </w:tc>
        <w:tc>
          <w:tcPr>
            <w:tcW w:w="2969" w:type="dxa"/>
          </w:tcPr>
          <w:p w14:paraId="54F38A53" w14:textId="77777777" w:rsidR="00B32F91" w:rsidRPr="00EB24C1" w:rsidRDefault="00B32F91" w:rsidP="00BD4ACC">
            <w:pPr>
              <w:widowControl w:val="0"/>
              <w:autoSpaceDE w:val="0"/>
              <w:autoSpaceDN w:val="0"/>
              <w:spacing w:line="248" w:lineRule="exact"/>
              <w:ind w:left="107"/>
              <w:rPr>
                <w:rFonts w:ascii="Arial" w:eastAsia="Calibri" w:hAnsi="Arial" w:cs="Arial"/>
                <w:b/>
                <w:spacing w:val="-2"/>
                <w:sz w:val="22"/>
                <w:szCs w:val="22"/>
              </w:rPr>
            </w:pPr>
            <w:r w:rsidRPr="00EB24C1">
              <w:rPr>
                <w:rFonts w:ascii="Arial" w:eastAsia="Calibri" w:hAnsi="Arial" w:cs="Arial"/>
                <w:b/>
                <w:sz w:val="22"/>
                <w:szCs w:val="22"/>
              </w:rPr>
              <w:t>Approving</w:t>
            </w:r>
            <w:r w:rsidRPr="00EB24C1">
              <w:rPr>
                <w:rFonts w:ascii="Arial" w:eastAsia="Calibri" w:hAnsi="Arial" w:cs="Arial"/>
                <w:b/>
                <w:spacing w:val="-8"/>
                <w:sz w:val="22"/>
                <w:szCs w:val="22"/>
              </w:rPr>
              <w:t xml:space="preserve"> </w:t>
            </w:r>
            <w:r w:rsidRPr="00EB24C1">
              <w:rPr>
                <w:rFonts w:ascii="Arial" w:eastAsia="Calibri" w:hAnsi="Arial" w:cs="Arial"/>
                <w:b/>
                <w:spacing w:val="-2"/>
                <w:sz w:val="22"/>
                <w:szCs w:val="22"/>
              </w:rPr>
              <w:t>Committee</w:t>
            </w:r>
          </w:p>
          <w:p w14:paraId="1E0E798E" w14:textId="77777777" w:rsidR="00B32F91" w:rsidRPr="00EB24C1" w:rsidRDefault="00B32F91" w:rsidP="00BD4ACC">
            <w:pPr>
              <w:widowControl w:val="0"/>
              <w:autoSpaceDE w:val="0"/>
              <w:autoSpaceDN w:val="0"/>
              <w:spacing w:line="248" w:lineRule="exact"/>
              <w:ind w:left="107"/>
              <w:rPr>
                <w:rFonts w:ascii="Arial" w:eastAsia="Calibri" w:hAnsi="Arial" w:cs="Arial"/>
                <w:b/>
                <w:sz w:val="22"/>
                <w:szCs w:val="22"/>
              </w:rPr>
            </w:pPr>
          </w:p>
        </w:tc>
        <w:tc>
          <w:tcPr>
            <w:tcW w:w="3067" w:type="dxa"/>
          </w:tcPr>
          <w:p w14:paraId="2C5A098A" w14:textId="77777777" w:rsidR="00B32F91" w:rsidRPr="00EB24C1" w:rsidRDefault="00B32F91" w:rsidP="00BD4ACC">
            <w:pPr>
              <w:widowControl w:val="0"/>
              <w:autoSpaceDE w:val="0"/>
              <w:autoSpaceDN w:val="0"/>
              <w:spacing w:line="248" w:lineRule="exact"/>
              <w:ind w:left="107"/>
              <w:rPr>
                <w:rFonts w:ascii="Arial" w:eastAsia="Calibri" w:hAnsi="Arial" w:cs="Arial"/>
                <w:b/>
                <w:sz w:val="22"/>
                <w:szCs w:val="22"/>
              </w:rPr>
            </w:pPr>
            <w:r w:rsidRPr="00EB24C1">
              <w:rPr>
                <w:rFonts w:ascii="Arial" w:eastAsia="Calibri" w:hAnsi="Arial" w:cs="Arial"/>
                <w:b/>
                <w:sz w:val="22"/>
                <w:szCs w:val="22"/>
              </w:rPr>
              <w:t>Approval</w:t>
            </w:r>
            <w:r w:rsidRPr="00EB24C1">
              <w:rPr>
                <w:rFonts w:ascii="Arial" w:eastAsia="Calibri" w:hAnsi="Arial" w:cs="Arial"/>
                <w:b/>
                <w:spacing w:val="-6"/>
                <w:sz w:val="22"/>
                <w:szCs w:val="22"/>
              </w:rPr>
              <w:t xml:space="preserve"> </w:t>
            </w:r>
            <w:r w:rsidRPr="00EB24C1">
              <w:rPr>
                <w:rFonts w:ascii="Arial" w:eastAsia="Calibri" w:hAnsi="Arial" w:cs="Arial"/>
                <w:b/>
                <w:sz w:val="22"/>
                <w:szCs w:val="22"/>
              </w:rPr>
              <w:t>Minute</w:t>
            </w:r>
            <w:r w:rsidRPr="00EB24C1">
              <w:rPr>
                <w:rFonts w:ascii="Arial" w:eastAsia="Calibri" w:hAnsi="Arial" w:cs="Arial"/>
                <w:b/>
                <w:spacing w:val="-5"/>
                <w:sz w:val="22"/>
                <w:szCs w:val="22"/>
              </w:rPr>
              <w:t xml:space="preserve"> </w:t>
            </w:r>
            <w:r w:rsidRPr="00EB24C1">
              <w:rPr>
                <w:rFonts w:ascii="Arial" w:eastAsia="Calibri" w:hAnsi="Arial" w:cs="Arial"/>
                <w:b/>
                <w:spacing w:val="-2"/>
                <w:sz w:val="22"/>
                <w:szCs w:val="22"/>
              </w:rPr>
              <w:t>Reference</w:t>
            </w:r>
          </w:p>
        </w:tc>
        <w:tc>
          <w:tcPr>
            <w:tcW w:w="1967" w:type="dxa"/>
          </w:tcPr>
          <w:p w14:paraId="152CBB84" w14:textId="77777777" w:rsidR="00B32F91" w:rsidRPr="00EB24C1" w:rsidRDefault="00B32F91" w:rsidP="00BD4ACC">
            <w:pPr>
              <w:widowControl w:val="0"/>
              <w:autoSpaceDE w:val="0"/>
              <w:autoSpaceDN w:val="0"/>
              <w:spacing w:line="248" w:lineRule="exact"/>
              <w:ind w:left="106"/>
              <w:rPr>
                <w:rFonts w:ascii="Arial" w:eastAsia="Calibri" w:hAnsi="Arial" w:cs="Arial"/>
                <w:b/>
                <w:sz w:val="22"/>
                <w:szCs w:val="22"/>
              </w:rPr>
            </w:pPr>
            <w:r w:rsidRPr="00EB24C1">
              <w:rPr>
                <w:rFonts w:ascii="Arial" w:eastAsia="Calibri" w:hAnsi="Arial" w:cs="Arial"/>
                <w:b/>
                <w:sz w:val="22"/>
                <w:szCs w:val="22"/>
              </w:rPr>
              <w:t>Approval</w:t>
            </w:r>
            <w:r w:rsidRPr="00EB24C1">
              <w:rPr>
                <w:rFonts w:ascii="Arial" w:eastAsia="Calibri" w:hAnsi="Arial" w:cs="Arial"/>
                <w:b/>
                <w:spacing w:val="-8"/>
                <w:sz w:val="22"/>
                <w:szCs w:val="22"/>
              </w:rPr>
              <w:t xml:space="preserve"> </w:t>
            </w:r>
            <w:r w:rsidRPr="00EB24C1">
              <w:rPr>
                <w:rFonts w:ascii="Arial" w:eastAsia="Calibri" w:hAnsi="Arial" w:cs="Arial"/>
                <w:b/>
                <w:spacing w:val="-4"/>
                <w:sz w:val="22"/>
                <w:szCs w:val="22"/>
              </w:rPr>
              <w:t>Date</w:t>
            </w:r>
          </w:p>
        </w:tc>
      </w:tr>
      <w:tr w:rsidR="00B32F91" w:rsidRPr="00EB24C1" w14:paraId="7965C1F3" w14:textId="77777777" w:rsidTr="00CF13C9">
        <w:trPr>
          <w:trHeight w:val="274"/>
        </w:trPr>
        <w:tc>
          <w:tcPr>
            <w:tcW w:w="1385" w:type="dxa"/>
            <w:shd w:val="clear" w:color="auto" w:fill="auto"/>
          </w:tcPr>
          <w:p w14:paraId="7605F0DA" w14:textId="77777777" w:rsidR="00B32F91" w:rsidRPr="00EB24C1" w:rsidRDefault="00B32F91" w:rsidP="00BD4ACC">
            <w:pPr>
              <w:widowControl w:val="0"/>
              <w:autoSpaceDE w:val="0"/>
              <w:autoSpaceDN w:val="0"/>
              <w:spacing w:line="248" w:lineRule="exact"/>
              <w:ind w:left="107"/>
              <w:rPr>
                <w:rFonts w:ascii="Arial" w:eastAsia="Calibri" w:hAnsi="Arial" w:cs="Arial"/>
                <w:b/>
                <w:spacing w:val="-10"/>
                <w:sz w:val="22"/>
                <w:szCs w:val="22"/>
              </w:rPr>
            </w:pPr>
            <w:r w:rsidRPr="00EB24C1">
              <w:rPr>
                <w:rFonts w:ascii="Arial" w:eastAsia="Calibri" w:hAnsi="Arial" w:cs="Arial"/>
                <w:b/>
                <w:sz w:val="22"/>
                <w:szCs w:val="22"/>
              </w:rPr>
              <w:t>Rev.</w:t>
            </w:r>
            <w:r w:rsidRPr="00EB24C1">
              <w:rPr>
                <w:rFonts w:ascii="Arial" w:eastAsia="Calibri" w:hAnsi="Arial" w:cs="Arial"/>
                <w:b/>
                <w:spacing w:val="-2"/>
                <w:sz w:val="22"/>
                <w:szCs w:val="22"/>
              </w:rPr>
              <w:t xml:space="preserve"> </w:t>
            </w:r>
            <w:r w:rsidRPr="00EB24C1">
              <w:rPr>
                <w:rFonts w:ascii="Arial" w:eastAsia="Calibri" w:hAnsi="Arial" w:cs="Arial"/>
                <w:b/>
                <w:spacing w:val="-10"/>
                <w:sz w:val="22"/>
                <w:szCs w:val="22"/>
              </w:rPr>
              <w:t>1</w:t>
            </w:r>
          </w:p>
          <w:p w14:paraId="5CF5C538" w14:textId="77777777" w:rsidR="00B32F91" w:rsidRPr="00EB24C1" w:rsidRDefault="00B32F91" w:rsidP="00BD4ACC">
            <w:pPr>
              <w:widowControl w:val="0"/>
              <w:autoSpaceDE w:val="0"/>
              <w:autoSpaceDN w:val="0"/>
              <w:spacing w:line="248" w:lineRule="exact"/>
              <w:ind w:left="107"/>
              <w:rPr>
                <w:rFonts w:ascii="Arial" w:eastAsia="Calibri" w:hAnsi="Arial" w:cs="Arial"/>
                <w:b/>
                <w:sz w:val="22"/>
                <w:szCs w:val="22"/>
              </w:rPr>
            </w:pPr>
          </w:p>
        </w:tc>
        <w:tc>
          <w:tcPr>
            <w:tcW w:w="2969" w:type="dxa"/>
            <w:shd w:val="clear" w:color="auto" w:fill="auto"/>
          </w:tcPr>
          <w:p w14:paraId="5B9BD015" w14:textId="77777777" w:rsidR="00B32F91" w:rsidRPr="00EB24C1" w:rsidRDefault="00B32F91" w:rsidP="00BD4ACC">
            <w:pPr>
              <w:widowControl w:val="0"/>
              <w:autoSpaceDE w:val="0"/>
              <w:autoSpaceDN w:val="0"/>
              <w:spacing w:line="248" w:lineRule="exact"/>
              <w:ind w:left="107"/>
              <w:rPr>
                <w:rFonts w:ascii="Arial" w:eastAsia="Calibri" w:hAnsi="Arial" w:cs="Arial"/>
                <w:sz w:val="22"/>
                <w:szCs w:val="22"/>
              </w:rPr>
            </w:pPr>
            <w:r w:rsidRPr="00EB24C1">
              <w:rPr>
                <w:rFonts w:ascii="Arial" w:eastAsia="Calibri" w:hAnsi="Arial" w:cs="Arial"/>
                <w:sz w:val="22"/>
                <w:szCs w:val="22"/>
              </w:rPr>
              <w:t>Executive Committee</w:t>
            </w:r>
          </w:p>
        </w:tc>
        <w:tc>
          <w:tcPr>
            <w:tcW w:w="3067" w:type="dxa"/>
            <w:shd w:val="clear" w:color="auto" w:fill="auto"/>
          </w:tcPr>
          <w:p w14:paraId="038A8E33" w14:textId="77777777" w:rsidR="00B32F91" w:rsidRPr="00EB24C1" w:rsidRDefault="00B32F91" w:rsidP="001E0EAB">
            <w:pPr>
              <w:widowControl w:val="0"/>
              <w:autoSpaceDE w:val="0"/>
              <w:autoSpaceDN w:val="0"/>
              <w:spacing w:line="248" w:lineRule="exact"/>
              <w:rPr>
                <w:rFonts w:ascii="Arial" w:eastAsia="Calibri" w:hAnsi="Arial" w:cs="Arial"/>
                <w:sz w:val="22"/>
                <w:szCs w:val="22"/>
              </w:rPr>
            </w:pPr>
          </w:p>
        </w:tc>
        <w:tc>
          <w:tcPr>
            <w:tcW w:w="1967" w:type="dxa"/>
            <w:shd w:val="clear" w:color="auto" w:fill="auto"/>
          </w:tcPr>
          <w:p w14:paraId="757DE276" w14:textId="6D03E8FD" w:rsidR="00B32F91" w:rsidRPr="00EB24C1" w:rsidRDefault="00573398" w:rsidP="00BD4ACC">
            <w:pPr>
              <w:widowControl w:val="0"/>
              <w:autoSpaceDE w:val="0"/>
              <w:autoSpaceDN w:val="0"/>
              <w:spacing w:line="248" w:lineRule="exact"/>
              <w:rPr>
                <w:rFonts w:ascii="Arial" w:eastAsia="Calibri" w:hAnsi="Arial" w:cs="Arial"/>
                <w:sz w:val="22"/>
                <w:szCs w:val="22"/>
              </w:rPr>
            </w:pPr>
            <w:r>
              <w:rPr>
                <w:rFonts w:ascii="Arial" w:eastAsia="Calibri" w:hAnsi="Arial" w:cs="Arial"/>
                <w:sz w:val="22"/>
                <w:szCs w:val="22"/>
              </w:rPr>
              <w:t>01/07/2024</w:t>
            </w:r>
          </w:p>
        </w:tc>
      </w:tr>
      <w:tr w:rsidR="00B32F91" w:rsidRPr="00EB24C1" w14:paraId="6269D3B2" w14:textId="77777777" w:rsidTr="00CF13C9">
        <w:trPr>
          <w:trHeight w:val="274"/>
        </w:trPr>
        <w:tc>
          <w:tcPr>
            <w:tcW w:w="1385" w:type="dxa"/>
            <w:shd w:val="clear" w:color="auto" w:fill="auto"/>
          </w:tcPr>
          <w:p w14:paraId="4FCE757F" w14:textId="77777777" w:rsidR="00B32F91" w:rsidRPr="00EB24C1" w:rsidRDefault="00B32F91" w:rsidP="00BD4ACC">
            <w:pPr>
              <w:widowControl w:val="0"/>
              <w:autoSpaceDE w:val="0"/>
              <w:autoSpaceDN w:val="0"/>
              <w:spacing w:line="248" w:lineRule="exact"/>
              <w:ind w:left="107"/>
              <w:rPr>
                <w:rFonts w:ascii="Arial" w:eastAsia="Calibri" w:hAnsi="Arial" w:cs="Arial"/>
                <w:b/>
                <w:spacing w:val="-10"/>
                <w:sz w:val="22"/>
                <w:szCs w:val="22"/>
              </w:rPr>
            </w:pPr>
            <w:r w:rsidRPr="00EB24C1">
              <w:rPr>
                <w:rFonts w:ascii="Arial" w:eastAsia="Calibri" w:hAnsi="Arial" w:cs="Arial"/>
                <w:b/>
                <w:sz w:val="22"/>
                <w:szCs w:val="22"/>
              </w:rPr>
              <w:t>Rev.</w:t>
            </w:r>
            <w:r w:rsidRPr="00EB24C1">
              <w:rPr>
                <w:rFonts w:ascii="Arial" w:eastAsia="Calibri" w:hAnsi="Arial" w:cs="Arial"/>
                <w:b/>
                <w:spacing w:val="-2"/>
                <w:sz w:val="22"/>
                <w:szCs w:val="22"/>
              </w:rPr>
              <w:t xml:space="preserve"> </w:t>
            </w:r>
            <w:r w:rsidRPr="00EB24C1">
              <w:rPr>
                <w:rFonts w:ascii="Arial" w:eastAsia="Calibri" w:hAnsi="Arial" w:cs="Arial"/>
                <w:b/>
                <w:spacing w:val="-10"/>
                <w:sz w:val="22"/>
                <w:szCs w:val="22"/>
              </w:rPr>
              <w:t>2</w:t>
            </w:r>
          </w:p>
          <w:p w14:paraId="3E7E6A78" w14:textId="77777777" w:rsidR="00B32F91" w:rsidRPr="00EB24C1" w:rsidRDefault="00B32F91" w:rsidP="00BD4ACC">
            <w:pPr>
              <w:widowControl w:val="0"/>
              <w:autoSpaceDE w:val="0"/>
              <w:autoSpaceDN w:val="0"/>
              <w:spacing w:line="248" w:lineRule="exact"/>
              <w:ind w:left="107"/>
              <w:rPr>
                <w:rFonts w:ascii="Arial" w:eastAsia="Calibri" w:hAnsi="Arial" w:cs="Arial"/>
                <w:b/>
                <w:sz w:val="22"/>
                <w:szCs w:val="22"/>
              </w:rPr>
            </w:pPr>
          </w:p>
        </w:tc>
        <w:tc>
          <w:tcPr>
            <w:tcW w:w="2969" w:type="dxa"/>
            <w:shd w:val="clear" w:color="auto" w:fill="auto"/>
          </w:tcPr>
          <w:p w14:paraId="12C75590" w14:textId="77777777" w:rsidR="00B32F91" w:rsidRPr="00EB24C1" w:rsidRDefault="00B32F91" w:rsidP="00BD4ACC">
            <w:pPr>
              <w:widowControl w:val="0"/>
              <w:autoSpaceDE w:val="0"/>
              <w:autoSpaceDN w:val="0"/>
              <w:spacing w:line="248" w:lineRule="exact"/>
              <w:ind w:left="107"/>
              <w:rPr>
                <w:rFonts w:ascii="Arial" w:eastAsia="Calibri" w:hAnsi="Arial" w:cs="Arial"/>
                <w:sz w:val="22"/>
                <w:szCs w:val="22"/>
              </w:rPr>
            </w:pPr>
          </w:p>
        </w:tc>
        <w:tc>
          <w:tcPr>
            <w:tcW w:w="3067" w:type="dxa"/>
            <w:shd w:val="clear" w:color="auto" w:fill="auto"/>
          </w:tcPr>
          <w:p w14:paraId="042A323C" w14:textId="77777777" w:rsidR="00B32F91" w:rsidRPr="00EB24C1" w:rsidRDefault="00B32F91" w:rsidP="00BD4ACC">
            <w:pPr>
              <w:widowControl w:val="0"/>
              <w:autoSpaceDE w:val="0"/>
              <w:autoSpaceDN w:val="0"/>
              <w:spacing w:line="248" w:lineRule="exact"/>
              <w:ind w:left="107"/>
              <w:rPr>
                <w:rFonts w:ascii="Arial" w:eastAsia="Calibri" w:hAnsi="Arial" w:cs="Arial"/>
                <w:sz w:val="22"/>
                <w:szCs w:val="22"/>
              </w:rPr>
            </w:pPr>
          </w:p>
        </w:tc>
        <w:tc>
          <w:tcPr>
            <w:tcW w:w="1967" w:type="dxa"/>
            <w:shd w:val="clear" w:color="auto" w:fill="auto"/>
          </w:tcPr>
          <w:p w14:paraId="61D5CEC2" w14:textId="77777777" w:rsidR="00B32F91" w:rsidRPr="00EB24C1" w:rsidRDefault="00B32F91" w:rsidP="00BD4ACC">
            <w:pPr>
              <w:widowControl w:val="0"/>
              <w:autoSpaceDE w:val="0"/>
              <w:autoSpaceDN w:val="0"/>
              <w:spacing w:line="248" w:lineRule="exact"/>
              <w:ind w:left="106"/>
              <w:rPr>
                <w:rFonts w:ascii="Arial" w:eastAsia="Calibri" w:hAnsi="Arial" w:cs="Arial"/>
                <w:sz w:val="22"/>
                <w:szCs w:val="22"/>
              </w:rPr>
            </w:pPr>
          </w:p>
        </w:tc>
      </w:tr>
      <w:tr w:rsidR="00B32F91" w:rsidRPr="00EB24C1" w14:paraId="40EBF5FD" w14:textId="77777777" w:rsidTr="00CF13C9">
        <w:trPr>
          <w:trHeight w:val="550"/>
        </w:trPr>
        <w:tc>
          <w:tcPr>
            <w:tcW w:w="1385" w:type="dxa"/>
            <w:shd w:val="clear" w:color="auto" w:fill="auto"/>
          </w:tcPr>
          <w:p w14:paraId="10EB5119" w14:textId="77777777" w:rsidR="00B32F91" w:rsidRPr="00EB24C1" w:rsidRDefault="00B32F91" w:rsidP="00BD4ACC">
            <w:pPr>
              <w:widowControl w:val="0"/>
              <w:autoSpaceDE w:val="0"/>
              <w:autoSpaceDN w:val="0"/>
              <w:spacing w:line="268" w:lineRule="exact"/>
              <w:ind w:left="107"/>
              <w:rPr>
                <w:rFonts w:ascii="Arial" w:eastAsia="Calibri" w:hAnsi="Arial" w:cs="Arial"/>
                <w:b/>
                <w:spacing w:val="-10"/>
                <w:sz w:val="22"/>
                <w:szCs w:val="22"/>
              </w:rPr>
            </w:pPr>
            <w:r w:rsidRPr="00EB24C1">
              <w:rPr>
                <w:rFonts w:ascii="Arial" w:eastAsia="Calibri" w:hAnsi="Arial" w:cs="Arial"/>
                <w:b/>
                <w:sz w:val="22"/>
                <w:szCs w:val="22"/>
              </w:rPr>
              <w:t>Rev.</w:t>
            </w:r>
            <w:r w:rsidRPr="00EB24C1">
              <w:rPr>
                <w:rFonts w:ascii="Arial" w:eastAsia="Calibri" w:hAnsi="Arial" w:cs="Arial"/>
                <w:b/>
                <w:spacing w:val="-2"/>
                <w:sz w:val="22"/>
                <w:szCs w:val="22"/>
              </w:rPr>
              <w:t xml:space="preserve"> </w:t>
            </w:r>
            <w:r w:rsidRPr="00EB24C1">
              <w:rPr>
                <w:rFonts w:ascii="Arial" w:eastAsia="Calibri" w:hAnsi="Arial" w:cs="Arial"/>
                <w:b/>
                <w:spacing w:val="-10"/>
                <w:sz w:val="22"/>
                <w:szCs w:val="22"/>
              </w:rPr>
              <w:t>3</w:t>
            </w:r>
          </w:p>
          <w:p w14:paraId="2E92E21B" w14:textId="77777777" w:rsidR="00B32F91" w:rsidRPr="00EB24C1" w:rsidRDefault="00B32F91" w:rsidP="00BD4ACC">
            <w:pPr>
              <w:widowControl w:val="0"/>
              <w:autoSpaceDE w:val="0"/>
              <w:autoSpaceDN w:val="0"/>
              <w:spacing w:line="268" w:lineRule="exact"/>
              <w:ind w:left="107"/>
              <w:rPr>
                <w:rFonts w:ascii="Arial" w:eastAsia="Calibri" w:hAnsi="Arial" w:cs="Arial"/>
                <w:b/>
                <w:sz w:val="22"/>
                <w:szCs w:val="22"/>
              </w:rPr>
            </w:pPr>
          </w:p>
        </w:tc>
        <w:tc>
          <w:tcPr>
            <w:tcW w:w="2969" w:type="dxa"/>
            <w:shd w:val="clear" w:color="auto" w:fill="auto"/>
          </w:tcPr>
          <w:p w14:paraId="53F8FE39" w14:textId="77777777" w:rsidR="00B32F91" w:rsidRPr="00EB24C1" w:rsidRDefault="00B32F91" w:rsidP="00BD4ACC">
            <w:pPr>
              <w:widowControl w:val="0"/>
              <w:autoSpaceDE w:val="0"/>
              <w:autoSpaceDN w:val="0"/>
              <w:spacing w:line="249" w:lineRule="exact"/>
              <w:ind w:left="107"/>
              <w:rPr>
                <w:rFonts w:ascii="Arial" w:eastAsia="Calibri" w:hAnsi="Arial" w:cs="Arial"/>
                <w:sz w:val="22"/>
                <w:szCs w:val="22"/>
              </w:rPr>
            </w:pPr>
          </w:p>
        </w:tc>
        <w:tc>
          <w:tcPr>
            <w:tcW w:w="3067" w:type="dxa"/>
            <w:shd w:val="clear" w:color="auto" w:fill="auto"/>
          </w:tcPr>
          <w:p w14:paraId="123DB770" w14:textId="77777777" w:rsidR="00B32F91" w:rsidRPr="00EB24C1" w:rsidRDefault="00B32F91" w:rsidP="00BD4ACC">
            <w:pPr>
              <w:widowControl w:val="0"/>
              <w:autoSpaceDE w:val="0"/>
              <w:autoSpaceDN w:val="0"/>
              <w:spacing w:line="249" w:lineRule="exact"/>
              <w:ind w:left="107"/>
              <w:rPr>
                <w:rFonts w:ascii="Arial" w:eastAsia="Calibri" w:hAnsi="Arial" w:cs="Arial"/>
                <w:sz w:val="22"/>
                <w:szCs w:val="22"/>
              </w:rPr>
            </w:pPr>
          </w:p>
        </w:tc>
        <w:tc>
          <w:tcPr>
            <w:tcW w:w="1967" w:type="dxa"/>
            <w:shd w:val="clear" w:color="auto" w:fill="auto"/>
          </w:tcPr>
          <w:p w14:paraId="64B2F849" w14:textId="77777777" w:rsidR="00B32F91" w:rsidRPr="00EB24C1" w:rsidRDefault="00B32F91" w:rsidP="00BD4ACC">
            <w:pPr>
              <w:widowControl w:val="0"/>
              <w:autoSpaceDE w:val="0"/>
              <w:autoSpaceDN w:val="0"/>
              <w:spacing w:line="268" w:lineRule="exact"/>
              <w:ind w:left="106"/>
              <w:rPr>
                <w:rFonts w:ascii="Arial" w:eastAsia="Calibri" w:hAnsi="Arial" w:cs="Arial"/>
                <w:sz w:val="22"/>
                <w:szCs w:val="22"/>
              </w:rPr>
            </w:pPr>
          </w:p>
        </w:tc>
      </w:tr>
    </w:tbl>
    <w:p w14:paraId="3748D336" w14:textId="77777777" w:rsidR="00B32F91" w:rsidRPr="00EB24C1" w:rsidRDefault="00B32F91" w:rsidP="00473781">
      <w:pPr>
        <w:rPr>
          <w:rFonts w:ascii="Arial" w:hAnsi="Arial" w:cs="Arial"/>
          <w:sz w:val="22"/>
          <w:szCs w:val="22"/>
        </w:rPr>
      </w:pPr>
    </w:p>
    <w:p w14:paraId="7FDB9275" w14:textId="77777777" w:rsidR="00B32F91" w:rsidRPr="00473781" w:rsidRDefault="00B32F91" w:rsidP="00473781"/>
    <w:p w14:paraId="511F689E" w14:textId="77777777" w:rsidR="00B32F91" w:rsidRDefault="00B32F91" w:rsidP="00B307EB"/>
    <w:p w14:paraId="3D959ADD" w14:textId="77777777" w:rsidR="00A37996" w:rsidRDefault="00A37996" w:rsidP="00057E4F">
      <w:pPr>
        <w:pStyle w:val="Heading2"/>
        <w:rPr>
          <w:lang w:val="en-IE" w:eastAsia="en-IE"/>
        </w:rPr>
      </w:pPr>
    </w:p>
    <w:p w14:paraId="02774B62" w14:textId="77777777" w:rsidR="00A37996" w:rsidRDefault="00A37996" w:rsidP="00057E4F">
      <w:pPr>
        <w:pStyle w:val="Heading2"/>
        <w:rPr>
          <w:lang w:val="en-IE" w:eastAsia="en-IE"/>
        </w:rPr>
      </w:pPr>
    </w:p>
    <w:p w14:paraId="120C2220" w14:textId="2F62F5AA" w:rsidR="00B32F91" w:rsidRPr="00DD0D3D" w:rsidRDefault="00B32F91" w:rsidP="00057E4F">
      <w:pPr>
        <w:pStyle w:val="Heading2"/>
        <w:rPr>
          <w:rFonts w:asciiTheme="majorHAnsi" w:hAnsiTheme="majorHAnsi" w:cstheme="majorHAnsi"/>
          <w:color w:val="2F5496" w:themeColor="accent1" w:themeShade="BF"/>
          <w:lang w:val="en-IE" w:eastAsia="en-IE"/>
        </w:rPr>
      </w:pPr>
      <w:r w:rsidRPr="00DD0D3D">
        <w:rPr>
          <w:rFonts w:asciiTheme="majorHAnsi" w:hAnsiTheme="majorHAnsi" w:cstheme="majorHAnsi"/>
          <w:color w:val="2F5496" w:themeColor="accent1" w:themeShade="BF"/>
          <w:lang w:val="en-IE" w:eastAsia="en-IE"/>
        </w:rPr>
        <w:t>1.1 Overview</w:t>
      </w:r>
    </w:p>
    <w:p w14:paraId="7685EA2E" w14:textId="77777777" w:rsidR="00B32F91" w:rsidRPr="00A1630B" w:rsidRDefault="00B32F91" w:rsidP="10DA8282">
      <w:pPr>
        <w:jc w:val="both"/>
        <w:textAlignment w:val="baseline"/>
        <w:rPr>
          <w:rFonts w:asciiTheme="minorHAnsi" w:eastAsia="Times New Roman" w:hAnsiTheme="minorHAnsi" w:cstheme="minorHAnsi"/>
          <w:sz w:val="22"/>
          <w:szCs w:val="22"/>
          <w:lang w:eastAsia="en-IE"/>
        </w:rPr>
      </w:pPr>
      <w:r w:rsidRPr="00A1630B">
        <w:rPr>
          <w:rFonts w:asciiTheme="minorHAnsi" w:eastAsia="Times New Roman" w:hAnsiTheme="minorHAnsi" w:cstheme="minorHAnsi"/>
          <w:sz w:val="22"/>
          <w:szCs w:val="22"/>
          <w:lang w:eastAsia="en-IE"/>
        </w:rPr>
        <w:t xml:space="preserve">The aim of the Access Advice offer is to support eligible companies to access external expertise against a defined critical business </w:t>
      </w:r>
      <w:proofErr w:type="gramStart"/>
      <w:r w:rsidRPr="00A1630B">
        <w:rPr>
          <w:rFonts w:asciiTheme="minorHAnsi" w:eastAsia="Times New Roman" w:hAnsiTheme="minorHAnsi" w:cstheme="minorHAnsi"/>
          <w:sz w:val="22"/>
          <w:szCs w:val="22"/>
          <w:lang w:eastAsia="en-IE"/>
        </w:rPr>
        <w:t>needs</w:t>
      </w:r>
      <w:proofErr w:type="gramEnd"/>
      <w:r w:rsidRPr="00A1630B">
        <w:rPr>
          <w:rFonts w:asciiTheme="minorHAnsi" w:eastAsia="Times New Roman" w:hAnsiTheme="minorHAnsi" w:cstheme="minorHAnsi"/>
          <w:sz w:val="22"/>
          <w:szCs w:val="22"/>
          <w:lang w:eastAsia="en-IE"/>
        </w:rPr>
        <w:t>.</w:t>
      </w:r>
    </w:p>
    <w:p w14:paraId="0A75EEA2" w14:textId="77777777" w:rsidR="00B32F91" w:rsidRPr="00A1630B" w:rsidRDefault="00B32F91" w:rsidP="10DA8282">
      <w:pPr>
        <w:jc w:val="both"/>
        <w:textAlignment w:val="baseline"/>
        <w:rPr>
          <w:rFonts w:asciiTheme="minorHAnsi" w:eastAsia="Times New Roman" w:hAnsiTheme="minorHAnsi" w:cstheme="minorHAnsi"/>
          <w:sz w:val="22"/>
          <w:szCs w:val="22"/>
          <w:lang w:eastAsia="en-IE"/>
        </w:rPr>
      </w:pPr>
      <w:r w:rsidRPr="00A1630B">
        <w:rPr>
          <w:rFonts w:asciiTheme="minorHAnsi" w:eastAsia="Times New Roman" w:hAnsiTheme="minorHAnsi" w:cstheme="minorHAnsi"/>
          <w:sz w:val="22"/>
          <w:szCs w:val="22"/>
          <w:lang w:eastAsia="en-IE"/>
        </w:rPr>
        <w:t xml:space="preserve">The offer consolidates access to </w:t>
      </w:r>
      <w:proofErr w:type="gramStart"/>
      <w:r w:rsidRPr="00A1630B">
        <w:rPr>
          <w:rFonts w:asciiTheme="minorHAnsi" w:eastAsia="Times New Roman" w:hAnsiTheme="minorHAnsi" w:cstheme="minorHAnsi"/>
          <w:sz w:val="22"/>
          <w:szCs w:val="22"/>
          <w:lang w:eastAsia="en-IE"/>
        </w:rPr>
        <w:t>a number of</w:t>
      </w:r>
      <w:proofErr w:type="gramEnd"/>
      <w:r w:rsidRPr="00A1630B">
        <w:rPr>
          <w:rFonts w:asciiTheme="minorHAnsi" w:eastAsia="Times New Roman" w:hAnsiTheme="minorHAnsi" w:cstheme="minorHAnsi"/>
          <w:sz w:val="22"/>
          <w:szCs w:val="22"/>
          <w:lang w:eastAsia="en-IE"/>
        </w:rPr>
        <w:t xml:space="preserve"> existing grants under a harmonised and streamlined offer and process.</w:t>
      </w:r>
    </w:p>
    <w:p w14:paraId="69508382" w14:textId="77777777" w:rsidR="00B32F91" w:rsidRDefault="00B32F91" w:rsidP="00E70310">
      <w:pPr>
        <w:jc w:val="both"/>
        <w:textAlignment w:val="baseline"/>
        <w:rPr>
          <w:rFonts w:ascii="Calibri" w:eastAsia="Times New Roman" w:hAnsi="Calibri" w:cs="Calibri"/>
          <w:lang w:val="en-IE" w:eastAsia="en-IE"/>
        </w:rPr>
      </w:pPr>
    </w:p>
    <w:p w14:paraId="50D1F714" w14:textId="74DCC9EA" w:rsidR="00B32F91" w:rsidRPr="00E51AEA" w:rsidRDefault="00DA59FE" w:rsidP="00BD5458">
      <w:pPr>
        <w:pStyle w:val="Heading2"/>
        <w:rPr>
          <w:rFonts w:asciiTheme="majorHAnsi" w:hAnsiTheme="majorHAnsi" w:cstheme="majorHAnsi"/>
          <w:lang w:val="en-IE" w:eastAsia="en-IE"/>
        </w:rPr>
      </w:pPr>
      <w:r>
        <w:rPr>
          <w:rFonts w:asciiTheme="majorHAnsi" w:hAnsiTheme="majorHAnsi" w:cstheme="majorHAnsi"/>
          <w:color w:val="2F5496" w:themeColor="accent1" w:themeShade="BF"/>
          <w:lang w:val="en-IE" w:eastAsia="en-IE"/>
        </w:rPr>
        <w:t xml:space="preserve"> </w:t>
      </w:r>
    </w:p>
    <w:p w14:paraId="2200A6D7" w14:textId="77777777" w:rsidR="00B32F91" w:rsidRPr="00E51AEA" w:rsidRDefault="00B32F91" w:rsidP="00B62403">
      <w:pPr>
        <w:textAlignment w:val="baseline"/>
        <w:rPr>
          <w:rFonts w:asciiTheme="minorHAnsi" w:eastAsia="Times New Roman" w:hAnsiTheme="minorHAnsi" w:cstheme="minorHAnsi"/>
          <w:sz w:val="22"/>
          <w:szCs w:val="22"/>
          <w:lang w:val="en-IE" w:eastAsia="en-IE"/>
        </w:rPr>
      </w:pPr>
      <w:r w:rsidRPr="00E51AEA">
        <w:rPr>
          <w:rFonts w:asciiTheme="minorHAnsi" w:eastAsia="Times New Roman" w:hAnsiTheme="minorHAnsi" w:cstheme="minorHAnsi"/>
          <w:sz w:val="22"/>
          <w:szCs w:val="22"/>
          <w:lang w:val="en-IE" w:eastAsia="en-IE"/>
        </w:rPr>
        <w:t xml:space="preserve">The Access Advice offer can be used against </w:t>
      </w:r>
      <w:proofErr w:type="gramStart"/>
      <w:r w:rsidRPr="00E51AEA">
        <w:rPr>
          <w:rFonts w:asciiTheme="minorHAnsi" w:eastAsia="Times New Roman" w:hAnsiTheme="minorHAnsi" w:cstheme="minorHAnsi"/>
          <w:sz w:val="22"/>
          <w:szCs w:val="22"/>
          <w:lang w:val="en-IE" w:eastAsia="en-IE"/>
        </w:rPr>
        <w:t>a number of</w:t>
      </w:r>
      <w:proofErr w:type="gramEnd"/>
      <w:r w:rsidRPr="00E51AEA">
        <w:rPr>
          <w:rFonts w:asciiTheme="minorHAnsi" w:eastAsia="Times New Roman" w:hAnsiTheme="minorHAnsi" w:cstheme="minorHAnsi"/>
          <w:sz w:val="22"/>
          <w:szCs w:val="22"/>
          <w:lang w:val="en-IE" w:eastAsia="en-IE"/>
        </w:rPr>
        <w:t xml:space="preserve"> defined engagement objectives which are specified project options within the Access Advice offer online application process:</w:t>
      </w:r>
    </w:p>
    <w:p w14:paraId="0E0D4127" w14:textId="77777777" w:rsidR="00B32F91" w:rsidRPr="00E51AEA" w:rsidRDefault="00B32F91" w:rsidP="00B62403">
      <w:pPr>
        <w:textAlignment w:val="baseline"/>
        <w:rPr>
          <w:rFonts w:asciiTheme="minorHAnsi" w:eastAsia="Times New Roman" w:hAnsiTheme="minorHAnsi" w:cstheme="minorHAnsi"/>
          <w:sz w:val="22"/>
          <w:szCs w:val="22"/>
          <w:lang w:val="en-IE" w:eastAsia="en-IE"/>
        </w:rPr>
      </w:pPr>
    </w:p>
    <w:p w14:paraId="2D892DBE" w14:textId="77777777" w:rsidR="00B32F91" w:rsidRPr="00E51AEA" w:rsidRDefault="00B32F91" w:rsidP="1DCF1105">
      <w:pPr>
        <w:rPr>
          <w:rFonts w:asciiTheme="minorHAnsi" w:hAnsiTheme="minorHAnsi" w:cstheme="minorHAnsi"/>
          <w:sz w:val="22"/>
          <w:szCs w:val="22"/>
        </w:rPr>
      </w:pPr>
      <w:r w:rsidRPr="00E51AEA">
        <w:rPr>
          <w:rFonts w:asciiTheme="minorHAnsi" w:hAnsiTheme="minorHAnsi" w:cstheme="minorHAnsi"/>
          <w:b/>
          <w:bCs/>
          <w:sz w:val="22"/>
          <w:szCs w:val="22"/>
        </w:rPr>
        <w:t>Lean Start |</w:t>
      </w:r>
      <w:r w:rsidRPr="00E51AEA">
        <w:rPr>
          <w:rFonts w:asciiTheme="minorHAnsi" w:hAnsiTheme="minorHAnsi" w:cstheme="minorHAnsi"/>
          <w:sz w:val="22"/>
          <w:szCs w:val="22"/>
        </w:rPr>
        <w:t xml:space="preserve"> Support for companies to hire a Lean coach to assist </w:t>
      </w:r>
      <w:r w:rsidRPr="00E51AEA">
        <w:rPr>
          <w:rFonts w:asciiTheme="minorHAnsi" w:eastAsia="Calibri" w:hAnsiTheme="minorHAnsi" w:cstheme="minorHAnsi"/>
          <w:color w:val="000000" w:themeColor="text1"/>
          <w:sz w:val="22"/>
          <w:szCs w:val="22"/>
        </w:rPr>
        <w:t xml:space="preserve">with </w:t>
      </w:r>
      <w:r w:rsidRPr="00E51AEA">
        <w:rPr>
          <w:rFonts w:asciiTheme="minorHAnsi" w:hAnsiTheme="minorHAnsi" w:cstheme="minorHAnsi"/>
          <w:sz w:val="22"/>
          <w:szCs w:val="22"/>
        </w:rPr>
        <w:t>the introduction of</w:t>
      </w:r>
      <w:r w:rsidRPr="00E51AEA">
        <w:rPr>
          <w:rFonts w:asciiTheme="minorHAnsi" w:eastAsia="Calibri" w:hAnsiTheme="minorHAnsi" w:cstheme="minorHAnsi"/>
          <w:color w:val="000000" w:themeColor="text1"/>
          <w:sz w:val="22"/>
          <w:szCs w:val="22"/>
        </w:rPr>
        <w:t xml:space="preserve"> a culture of continuous</w:t>
      </w:r>
      <w:r w:rsidRPr="00E51AEA">
        <w:rPr>
          <w:rFonts w:asciiTheme="minorHAnsi" w:hAnsiTheme="minorHAnsi" w:cstheme="minorHAnsi"/>
          <w:sz w:val="22"/>
          <w:szCs w:val="22"/>
        </w:rPr>
        <w:t xml:space="preserve"> improvement in their operations.  See </w:t>
      </w:r>
      <w:hyperlink w:anchor="_Appendix_1:__1" w:history="1">
        <w:r w:rsidRPr="00E51AEA">
          <w:rPr>
            <w:rStyle w:val="Hyperlink"/>
            <w:rFonts w:asciiTheme="minorHAnsi" w:hAnsiTheme="minorHAnsi" w:cstheme="minorHAnsi"/>
            <w:sz w:val="22"/>
            <w:szCs w:val="22"/>
          </w:rPr>
          <w:t>Appendix 1</w:t>
        </w:r>
      </w:hyperlink>
      <w:r w:rsidRPr="00E51AEA">
        <w:rPr>
          <w:rFonts w:asciiTheme="minorHAnsi" w:hAnsiTheme="minorHAnsi" w:cstheme="minorHAnsi"/>
          <w:sz w:val="22"/>
          <w:szCs w:val="22"/>
        </w:rPr>
        <w:t xml:space="preserve"> for further detail on this use case.</w:t>
      </w:r>
    </w:p>
    <w:p w14:paraId="02AC8AD3" w14:textId="77777777" w:rsidR="00B32F91" w:rsidRPr="00E51AEA" w:rsidRDefault="00B32F91" w:rsidP="1DCF1105">
      <w:pPr>
        <w:rPr>
          <w:rFonts w:asciiTheme="minorHAnsi" w:hAnsiTheme="minorHAnsi" w:cstheme="minorHAnsi"/>
          <w:sz w:val="22"/>
          <w:szCs w:val="22"/>
        </w:rPr>
      </w:pPr>
      <w:r w:rsidRPr="00E51AEA">
        <w:rPr>
          <w:rFonts w:asciiTheme="minorHAnsi" w:hAnsiTheme="minorHAnsi" w:cstheme="minorHAnsi"/>
          <w:b/>
          <w:bCs/>
          <w:sz w:val="22"/>
          <w:szCs w:val="22"/>
        </w:rPr>
        <w:t>Green Start</w:t>
      </w:r>
      <w:r w:rsidRPr="00E51AEA">
        <w:rPr>
          <w:rFonts w:asciiTheme="minorHAnsi" w:hAnsiTheme="minorHAnsi" w:cstheme="minorHAnsi"/>
          <w:sz w:val="22"/>
          <w:szCs w:val="22"/>
        </w:rPr>
        <w:t xml:space="preserve"> | Support for companies to hire a sustainability consultant to assist with the introduction of best practice sustainable systems and structures, </w:t>
      </w:r>
      <w:hyperlink w:anchor="_Appendix_2:_" w:history="1">
        <w:r w:rsidRPr="00E51AEA">
          <w:rPr>
            <w:rStyle w:val="Hyperlink"/>
            <w:rFonts w:asciiTheme="minorHAnsi" w:hAnsiTheme="minorHAnsi" w:cstheme="minorHAnsi"/>
            <w:sz w:val="22"/>
            <w:szCs w:val="22"/>
          </w:rPr>
          <w:t>See Appendix 2</w:t>
        </w:r>
      </w:hyperlink>
      <w:r w:rsidRPr="00E51AEA">
        <w:rPr>
          <w:rFonts w:asciiTheme="minorHAnsi" w:hAnsiTheme="minorHAnsi" w:cstheme="minorHAnsi"/>
          <w:sz w:val="22"/>
          <w:szCs w:val="22"/>
        </w:rPr>
        <w:t xml:space="preserve"> for further detail on this use case.</w:t>
      </w:r>
    </w:p>
    <w:p w14:paraId="305667FE" w14:textId="77777777" w:rsidR="00B32F91" w:rsidRPr="00E51AEA" w:rsidRDefault="00B32F91" w:rsidP="00B62403">
      <w:pPr>
        <w:rPr>
          <w:rFonts w:asciiTheme="minorHAnsi" w:hAnsiTheme="minorHAnsi" w:cstheme="minorHAnsi"/>
          <w:sz w:val="22"/>
          <w:szCs w:val="22"/>
        </w:rPr>
      </w:pPr>
      <w:r w:rsidRPr="00E51AEA">
        <w:rPr>
          <w:rFonts w:asciiTheme="minorHAnsi" w:hAnsiTheme="minorHAnsi" w:cstheme="minorHAnsi"/>
          <w:b/>
          <w:bCs/>
          <w:sz w:val="22"/>
          <w:szCs w:val="22"/>
        </w:rPr>
        <w:t>IP Start</w:t>
      </w:r>
      <w:r w:rsidRPr="00E51AEA">
        <w:rPr>
          <w:rFonts w:asciiTheme="minorHAnsi" w:hAnsiTheme="minorHAnsi" w:cstheme="minorHAnsi"/>
          <w:sz w:val="22"/>
          <w:szCs w:val="22"/>
        </w:rPr>
        <w:t xml:space="preserve"> | </w:t>
      </w:r>
      <w:r w:rsidRPr="00E51AEA">
        <w:rPr>
          <w:rStyle w:val="ui-provider"/>
          <w:rFonts w:asciiTheme="minorHAnsi" w:hAnsiTheme="minorHAnsi" w:cstheme="minorHAnsi"/>
          <w:sz w:val="22"/>
          <w:szCs w:val="22"/>
        </w:rPr>
        <w:t xml:space="preserve">Support for companies to hire Intellectual Property (IP) advisory and support services to address immediate IP strategic challenges, including the protection of IP rights.  </w:t>
      </w:r>
      <w:r w:rsidRPr="00E51AEA">
        <w:rPr>
          <w:rFonts w:asciiTheme="minorHAnsi" w:hAnsiTheme="minorHAnsi" w:cstheme="minorHAnsi"/>
          <w:sz w:val="22"/>
          <w:szCs w:val="22"/>
        </w:rPr>
        <w:t xml:space="preserve">See </w:t>
      </w:r>
      <w:hyperlink w:anchor="_Appendix_3:_" w:history="1">
        <w:r w:rsidRPr="00E51AEA">
          <w:rPr>
            <w:rStyle w:val="Hyperlink"/>
            <w:rFonts w:asciiTheme="minorHAnsi" w:hAnsiTheme="minorHAnsi" w:cstheme="minorHAnsi"/>
            <w:sz w:val="22"/>
            <w:szCs w:val="22"/>
          </w:rPr>
          <w:t>Appendix 3</w:t>
        </w:r>
      </w:hyperlink>
      <w:r w:rsidRPr="00E51AEA">
        <w:rPr>
          <w:rFonts w:asciiTheme="minorHAnsi" w:hAnsiTheme="minorHAnsi" w:cstheme="minorHAnsi"/>
          <w:sz w:val="22"/>
          <w:szCs w:val="22"/>
        </w:rPr>
        <w:t xml:space="preserve"> for further detail on this use case.</w:t>
      </w:r>
    </w:p>
    <w:p w14:paraId="7DE03C9C" w14:textId="77777777" w:rsidR="00B32F91" w:rsidRPr="00E51AEA" w:rsidRDefault="00B32F91" w:rsidP="00B62403">
      <w:pPr>
        <w:rPr>
          <w:rFonts w:asciiTheme="minorHAnsi" w:hAnsiTheme="minorHAnsi" w:cstheme="minorHAnsi"/>
          <w:sz w:val="22"/>
          <w:szCs w:val="22"/>
        </w:rPr>
      </w:pPr>
      <w:r w:rsidRPr="00E51AEA">
        <w:rPr>
          <w:rFonts w:asciiTheme="minorHAnsi" w:hAnsiTheme="minorHAnsi" w:cstheme="minorHAnsi"/>
          <w:b/>
          <w:bCs/>
          <w:sz w:val="22"/>
          <w:szCs w:val="22"/>
        </w:rPr>
        <w:t>Digital Discovery</w:t>
      </w:r>
      <w:r w:rsidRPr="00E51AEA">
        <w:rPr>
          <w:rFonts w:asciiTheme="minorHAnsi" w:hAnsiTheme="minorHAnsi" w:cstheme="minorHAnsi"/>
          <w:sz w:val="22"/>
          <w:szCs w:val="22"/>
        </w:rPr>
        <w:t xml:space="preserve"> | Support for companies to hire a digital expert to assist with the introduction of new technologies &amp; solutions into their operations.  See </w:t>
      </w:r>
      <w:hyperlink w:anchor="_Appendix_4:_" w:history="1">
        <w:r w:rsidRPr="00E51AEA">
          <w:rPr>
            <w:rStyle w:val="Hyperlink"/>
            <w:rFonts w:asciiTheme="minorHAnsi" w:hAnsiTheme="minorHAnsi" w:cstheme="minorHAnsi"/>
            <w:sz w:val="22"/>
            <w:szCs w:val="22"/>
          </w:rPr>
          <w:t>Appendix 4</w:t>
        </w:r>
      </w:hyperlink>
      <w:r w:rsidRPr="00E51AEA">
        <w:rPr>
          <w:rFonts w:asciiTheme="minorHAnsi" w:hAnsiTheme="minorHAnsi" w:cstheme="minorHAnsi"/>
          <w:sz w:val="22"/>
          <w:szCs w:val="22"/>
        </w:rPr>
        <w:t xml:space="preserve"> for further detail on this use case.</w:t>
      </w:r>
    </w:p>
    <w:p w14:paraId="1E822C80" w14:textId="77777777" w:rsidR="00B32F91" w:rsidRPr="00E51AEA" w:rsidRDefault="00B32F91" w:rsidP="1DCF1105">
      <w:pPr>
        <w:rPr>
          <w:rFonts w:asciiTheme="minorHAnsi" w:hAnsiTheme="minorHAnsi" w:cstheme="minorHAnsi"/>
          <w:sz w:val="22"/>
          <w:szCs w:val="22"/>
        </w:rPr>
      </w:pPr>
      <w:r w:rsidRPr="00E51AEA">
        <w:rPr>
          <w:rFonts w:asciiTheme="minorHAnsi" w:hAnsiTheme="minorHAnsi" w:cstheme="minorHAnsi"/>
          <w:b/>
          <w:bCs/>
          <w:sz w:val="22"/>
          <w:szCs w:val="22"/>
        </w:rPr>
        <w:t>Small Strategic Consultancy</w:t>
      </w:r>
      <w:r w:rsidRPr="00E51AEA">
        <w:rPr>
          <w:rFonts w:asciiTheme="minorHAnsi" w:hAnsiTheme="minorHAnsi" w:cstheme="minorHAnsi"/>
          <w:sz w:val="22"/>
          <w:szCs w:val="22"/>
        </w:rPr>
        <w:t xml:space="preserve"> |</w:t>
      </w:r>
      <w:r w:rsidRPr="00E51AEA">
        <w:rPr>
          <w:rFonts w:asciiTheme="minorHAnsi" w:hAnsiTheme="minorHAnsi" w:cstheme="minorHAnsi"/>
          <w:color w:val="111111"/>
          <w:sz w:val="22"/>
          <w:szCs w:val="22"/>
          <w:shd w:val="clear" w:color="auto" w:fill="F3F3F3"/>
        </w:rPr>
        <w:t xml:space="preserve"> </w:t>
      </w:r>
      <w:r w:rsidRPr="00E51AEA">
        <w:rPr>
          <w:rFonts w:asciiTheme="minorHAnsi" w:hAnsiTheme="minorHAnsi" w:cstheme="minorHAnsi"/>
          <w:sz w:val="22"/>
          <w:szCs w:val="22"/>
        </w:rPr>
        <w:t xml:space="preserve">Support to hire external expert to assist companies in tackling a strategic or short-term tactical challenges in key business functions such as Organisation Development, Strategic Planning, Financial Business Planning. </w:t>
      </w:r>
      <w:r w:rsidRPr="00E51AEA">
        <w:rPr>
          <w:rFonts w:asciiTheme="minorHAnsi" w:hAnsiTheme="minorHAnsi" w:cstheme="minorHAnsi"/>
          <w:b/>
          <w:bCs/>
          <w:sz w:val="22"/>
          <w:szCs w:val="22"/>
        </w:rPr>
        <w:t xml:space="preserve"> </w:t>
      </w:r>
      <w:r w:rsidRPr="00E51AEA">
        <w:rPr>
          <w:rFonts w:asciiTheme="minorHAnsi" w:hAnsiTheme="minorHAnsi" w:cstheme="minorHAnsi"/>
          <w:sz w:val="22"/>
          <w:szCs w:val="22"/>
        </w:rPr>
        <w:t xml:space="preserve">See </w:t>
      </w:r>
      <w:hyperlink w:anchor="_Appendix_5:_" w:history="1">
        <w:r w:rsidRPr="00E51AEA">
          <w:rPr>
            <w:rStyle w:val="Hyperlink"/>
            <w:rFonts w:asciiTheme="minorHAnsi" w:hAnsiTheme="minorHAnsi" w:cstheme="minorHAnsi"/>
            <w:sz w:val="22"/>
            <w:szCs w:val="22"/>
          </w:rPr>
          <w:t>Appendix 5</w:t>
        </w:r>
      </w:hyperlink>
      <w:r w:rsidRPr="00E51AEA">
        <w:rPr>
          <w:rFonts w:asciiTheme="minorHAnsi" w:hAnsiTheme="minorHAnsi" w:cstheme="minorHAnsi"/>
          <w:sz w:val="22"/>
          <w:szCs w:val="22"/>
        </w:rPr>
        <w:t xml:space="preserve"> for further detail on this use case.</w:t>
      </w:r>
    </w:p>
    <w:p w14:paraId="02F1FFD9" w14:textId="77777777" w:rsidR="00B32F91" w:rsidRPr="00D158DB" w:rsidRDefault="00B32F91" w:rsidP="00F548A0">
      <w:pPr>
        <w:pStyle w:val="Heading2"/>
        <w:spacing w:before="160" w:after="0"/>
        <w:rPr>
          <w:rFonts w:asciiTheme="minorHAnsi" w:hAnsiTheme="minorHAnsi" w:cstheme="minorHAnsi"/>
          <w:sz w:val="22"/>
          <w:szCs w:val="22"/>
          <w:lang w:val="en-IE" w:eastAsia="en-IE"/>
        </w:rPr>
      </w:pPr>
    </w:p>
    <w:p w14:paraId="18F0D70A" w14:textId="77777777" w:rsidR="00B32F91" w:rsidRPr="00DD0D3D" w:rsidRDefault="00B32F91" w:rsidP="00F548A0">
      <w:pPr>
        <w:pStyle w:val="Heading2"/>
        <w:spacing w:before="160" w:after="0"/>
        <w:rPr>
          <w:rFonts w:asciiTheme="majorHAnsi" w:hAnsiTheme="majorHAnsi" w:cstheme="majorHAnsi"/>
          <w:color w:val="2F5496" w:themeColor="accent1" w:themeShade="BF"/>
          <w:lang w:val="en-IE" w:eastAsia="en-IE"/>
        </w:rPr>
      </w:pPr>
      <w:proofErr w:type="gramStart"/>
      <w:r w:rsidRPr="00DD0D3D">
        <w:rPr>
          <w:rFonts w:asciiTheme="majorHAnsi" w:hAnsiTheme="majorHAnsi" w:cstheme="majorHAnsi"/>
          <w:color w:val="2F5496" w:themeColor="accent1" w:themeShade="BF"/>
          <w:lang w:val="en-IE" w:eastAsia="en-IE"/>
        </w:rPr>
        <w:t>1.3  Ineligible</w:t>
      </w:r>
      <w:proofErr w:type="gramEnd"/>
      <w:r w:rsidRPr="00DD0D3D">
        <w:rPr>
          <w:rFonts w:asciiTheme="majorHAnsi" w:hAnsiTheme="majorHAnsi" w:cstheme="majorHAnsi"/>
          <w:color w:val="2F5496" w:themeColor="accent1" w:themeShade="BF"/>
          <w:lang w:val="en-IE" w:eastAsia="en-IE"/>
        </w:rPr>
        <w:t xml:space="preserve"> Projects</w:t>
      </w:r>
    </w:p>
    <w:p w14:paraId="6A765EBE" w14:textId="77777777" w:rsidR="00B32F91" w:rsidRPr="00E51AEA" w:rsidRDefault="00B32F91" w:rsidP="00B32F91">
      <w:pPr>
        <w:pStyle w:val="ListParagraph"/>
        <w:numPr>
          <w:ilvl w:val="0"/>
          <w:numId w:val="46"/>
        </w:numPr>
        <w:spacing w:line="264" w:lineRule="auto"/>
        <w:textAlignment w:val="baseline"/>
        <w:rPr>
          <w:rFonts w:asciiTheme="minorHAnsi" w:eastAsia="Times New Roman" w:hAnsiTheme="minorHAnsi" w:cstheme="minorHAnsi"/>
          <w:color w:val="3A3A3A"/>
          <w:sz w:val="22"/>
          <w:szCs w:val="22"/>
          <w:lang w:val="en-IE" w:eastAsia="en-IE"/>
        </w:rPr>
      </w:pPr>
      <w:r w:rsidRPr="00E51AEA">
        <w:rPr>
          <w:rFonts w:asciiTheme="minorHAnsi" w:eastAsia="Times New Roman" w:hAnsiTheme="minorHAnsi" w:cstheme="minorHAnsi"/>
          <w:color w:val="3A3A3A"/>
          <w:sz w:val="22"/>
          <w:szCs w:val="22"/>
          <w:lang w:val="en-IE" w:eastAsia="en-IE"/>
        </w:rPr>
        <w:t>Note the Access Advice grant cannot be used to subsidise regular company operating costs. Routine or ongoing outsourced consultancy costs such as PR; marketing, legal, financial costs are not eligible for funding support. </w:t>
      </w:r>
    </w:p>
    <w:p w14:paraId="5A1D9423" w14:textId="77777777" w:rsidR="00B32F91" w:rsidRPr="00E51AEA" w:rsidRDefault="00B32F91" w:rsidP="00B32F91">
      <w:pPr>
        <w:pStyle w:val="ListParagraph"/>
        <w:numPr>
          <w:ilvl w:val="0"/>
          <w:numId w:val="46"/>
        </w:numPr>
        <w:spacing w:line="264" w:lineRule="auto"/>
        <w:textAlignment w:val="baseline"/>
        <w:rPr>
          <w:rFonts w:asciiTheme="minorHAnsi" w:eastAsia="Times New Roman" w:hAnsiTheme="minorHAnsi" w:cstheme="minorHAnsi"/>
          <w:color w:val="3A3A3A"/>
          <w:sz w:val="22"/>
          <w:szCs w:val="22"/>
          <w:lang w:val="en-IE" w:eastAsia="en-IE"/>
        </w:rPr>
      </w:pPr>
      <w:r w:rsidRPr="00E51AEA">
        <w:rPr>
          <w:rFonts w:asciiTheme="minorHAnsi" w:hAnsiTheme="minorHAnsi" w:cstheme="minorHAnsi"/>
          <w:sz w:val="22"/>
          <w:szCs w:val="22"/>
        </w:rPr>
        <w:t xml:space="preserve">Activities legally required e.g. Energy audits mandated under the European Energy Efficiency </w:t>
      </w:r>
      <w:r w:rsidRPr="00E51AEA">
        <w:rPr>
          <w:rFonts w:asciiTheme="minorHAnsi" w:eastAsia="Times New Roman" w:hAnsiTheme="minorHAnsi" w:cstheme="minorHAnsi"/>
          <w:color w:val="3A3A3A"/>
          <w:sz w:val="22"/>
          <w:szCs w:val="22"/>
          <w:lang w:val="en-IE" w:eastAsia="en-IE"/>
        </w:rPr>
        <w:t>Directive are not eligible for aid.</w:t>
      </w:r>
    </w:p>
    <w:p w14:paraId="3BC8D8E2" w14:textId="77777777" w:rsidR="00B32F91" w:rsidRPr="00E51AEA" w:rsidRDefault="00B32F91" w:rsidP="00B32F91">
      <w:pPr>
        <w:pStyle w:val="ListParagraph"/>
        <w:numPr>
          <w:ilvl w:val="0"/>
          <w:numId w:val="46"/>
        </w:numPr>
        <w:spacing w:line="264" w:lineRule="auto"/>
        <w:textAlignment w:val="baseline"/>
        <w:rPr>
          <w:rFonts w:asciiTheme="minorHAnsi" w:eastAsia="Times New Roman" w:hAnsiTheme="minorHAnsi" w:cstheme="minorHAnsi"/>
          <w:color w:val="3A3A3A"/>
          <w:sz w:val="22"/>
          <w:szCs w:val="22"/>
          <w:lang w:val="en-IE" w:eastAsia="en-IE"/>
        </w:rPr>
      </w:pPr>
      <w:r w:rsidRPr="00E51AEA">
        <w:rPr>
          <w:rFonts w:asciiTheme="minorHAnsi" w:eastAsia="Times New Roman" w:hAnsiTheme="minorHAnsi" w:cstheme="minorHAnsi"/>
          <w:color w:val="3A3A3A"/>
          <w:sz w:val="22"/>
          <w:szCs w:val="22"/>
          <w:lang w:val="en-IE" w:eastAsia="en-IE"/>
        </w:rPr>
        <w:t xml:space="preserve">Projects related to market research, marketing or market development if it is eligible for assistance from An Bord </w:t>
      </w:r>
      <w:proofErr w:type="spellStart"/>
      <w:r w:rsidRPr="00E51AEA">
        <w:rPr>
          <w:rFonts w:asciiTheme="minorHAnsi" w:eastAsia="Times New Roman" w:hAnsiTheme="minorHAnsi" w:cstheme="minorHAnsi"/>
          <w:color w:val="3A3A3A"/>
          <w:sz w:val="22"/>
          <w:szCs w:val="22"/>
          <w:lang w:val="en-IE" w:eastAsia="en-IE"/>
        </w:rPr>
        <w:t>Iascaigh</w:t>
      </w:r>
      <w:proofErr w:type="spellEnd"/>
      <w:r w:rsidRPr="00E51AEA">
        <w:rPr>
          <w:rFonts w:asciiTheme="minorHAnsi" w:eastAsia="Times New Roman" w:hAnsiTheme="minorHAnsi" w:cstheme="minorHAnsi"/>
          <w:color w:val="3A3A3A"/>
          <w:sz w:val="22"/>
          <w:szCs w:val="22"/>
          <w:lang w:val="en-IE" w:eastAsia="en-IE"/>
        </w:rPr>
        <w:t xml:space="preserve"> Mhara, or An Bord Bia.</w:t>
      </w:r>
    </w:p>
    <w:p w14:paraId="23352B99" w14:textId="77777777" w:rsidR="00B32F91" w:rsidRPr="00D158DB" w:rsidRDefault="00B32F91" w:rsidP="00223D92">
      <w:pPr>
        <w:pStyle w:val="ListParagraph"/>
        <w:spacing w:line="264" w:lineRule="auto"/>
        <w:textAlignment w:val="baseline"/>
        <w:rPr>
          <w:rFonts w:asciiTheme="minorHAnsi" w:eastAsia="Times New Roman" w:hAnsiTheme="minorHAnsi" w:cstheme="minorHAnsi"/>
          <w:color w:val="3A3A3A"/>
          <w:sz w:val="22"/>
          <w:szCs w:val="22"/>
          <w:lang w:val="en-IE" w:eastAsia="en-IE"/>
        </w:rPr>
      </w:pPr>
    </w:p>
    <w:p w14:paraId="49D649B9" w14:textId="77777777" w:rsidR="00B32F91" w:rsidRPr="00DD0D3D" w:rsidRDefault="00B32F91" w:rsidP="00B32F91">
      <w:pPr>
        <w:pStyle w:val="Heading2"/>
        <w:keepLines/>
        <w:numPr>
          <w:ilvl w:val="1"/>
          <w:numId w:val="23"/>
        </w:numPr>
        <w:spacing w:before="160" w:after="0"/>
        <w:rPr>
          <w:rFonts w:asciiTheme="majorHAnsi" w:hAnsiTheme="majorHAnsi" w:cstheme="majorHAnsi"/>
          <w:color w:val="2F5496" w:themeColor="accent1" w:themeShade="BF"/>
          <w:lang w:val="en-IE" w:eastAsia="en-IE"/>
        </w:rPr>
      </w:pPr>
      <w:r w:rsidRPr="00DD0D3D">
        <w:rPr>
          <w:rFonts w:asciiTheme="majorHAnsi" w:hAnsiTheme="majorHAnsi" w:cstheme="majorHAnsi"/>
          <w:color w:val="2F5496" w:themeColor="accent1" w:themeShade="BF"/>
          <w:lang w:val="en-IE" w:eastAsia="en-IE"/>
        </w:rPr>
        <w:t>Eligible Companies</w:t>
      </w:r>
    </w:p>
    <w:p w14:paraId="3CD72070" w14:textId="77777777" w:rsidR="00B32F91" w:rsidRPr="00E51AEA" w:rsidRDefault="00B32F91" w:rsidP="00DF2E0C">
      <w:pPr>
        <w:pStyle w:val="NoSpacing"/>
        <w:rPr>
          <w:rStyle w:val="normaltextrun"/>
          <w:rFonts w:cstheme="minorHAnsi"/>
          <w:sz w:val="22"/>
          <w:szCs w:val="22"/>
        </w:rPr>
      </w:pPr>
      <w:r w:rsidRPr="00E51AEA">
        <w:rPr>
          <w:rStyle w:val="normaltextrun"/>
          <w:rFonts w:cstheme="minorHAnsi"/>
          <w:sz w:val="22"/>
          <w:szCs w:val="22"/>
        </w:rPr>
        <w:t xml:space="preserve">Eligible companies are:  </w:t>
      </w:r>
    </w:p>
    <w:p w14:paraId="2404478C" w14:textId="25672490" w:rsidR="00B32F91" w:rsidRPr="00E51AEA" w:rsidRDefault="00B32F91" w:rsidP="00B32F91">
      <w:pPr>
        <w:pStyle w:val="NoSpacing"/>
        <w:numPr>
          <w:ilvl w:val="0"/>
          <w:numId w:val="45"/>
        </w:numPr>
        <w:rPr>
          <w:rStyle w:val="normaltextrun"/>
          <w:rFonts w:cstheme="minorHAnsi"/>
          <w:sz w:val="22"/>
          <w:szCs w:val="22"/>
        </w:rPr>
      </w:pPr>
      <w:r w:rsidRPr="00E51AEA">
        <w:rPr>
          <w:rStyle w:val="normaltextrun"/>
          <w:rFonts w:cstheme="minorHAnsi"/>
          <w:sz w:val="22"/>
          <w:szCs w:val="22"/>
        </w:rPr>
        <w:t>Enterprise Ireland clients engaged in manufacturing or internationally traded services</w:t>
      </w:r>
      <w:r w:rsidRPr="00E51AEA">
        <w:rPr>
          <w:rStyle w:val="FootnoteReference"/>
          <w:rFonts w:cstheme="minorHAnsi"/>
          <w:sz w:val="22"/>
          <w:szCs w:val="22"/>
        </w:rPr>
        <w:footnoteReference w:id="1"/>
      </w:r>
      <w:r w:rsidRPr="00E51AEA">
        <w:rPr>
          <w:rStyle w:val="normaltextrun"/>
          <w:rFonts w:cstheme="minorHAnsi"/>
          <w:sz w:val="22"/>
          <w:szCs w:val="22"/>
        </w:rPr>
        <w:t xml:space="preserve"> who employ 10 or more full time staff at the time of application</w:t>
      </w:r>
      <w:r w:rsidR="00B802CA" w:rsidRPr="00E51AEA">
        <w:rPr>
          <w:rStyle w:val="normaltextrun"/>
          <w:rFonts w:cstheme="minorHAnsi"/>
          <w:sz w:val="22"/>
          <w:szCs w:val="22"/>
        </w:rPr>
        <w:t>.</w:t>
      </w:r>
    </w:p>
    <w:p w14:paraId="53399E0D" w14:textId="00F26589" w:rsidR="00B32F91" w:rsidRPr="00E51AEA" w:rsidRDefault="00B32F91" w:rsidP="00B32F91">
      <w:pPr>
        <w:pStyle w:val="NoSpacing"/>
        <w:numPr>
          <w:ilvl w:val="0"/>
          <w:numId w:val="45"/>
        </w:numPr>
        <w:rPr>
          <w:rStyle w:val="normaltextrun"/>
          <w:rFonts w:cstheme="minorHAnsi"/>
          <w:sz w:val="22"/>
          <w:szCs w:val="22"/>
        </w:rPr>
      </w:pPr>
      <w:r w:rsidRPr="00E51AEA">
        <w:rPr>
          <w:rStyle w:val="normaltextrun"/>
          <w:rFonts w:cstheme="minorHAnsi"/>
          <w:sz w:val="22"/>
          <w:szCs w:val="22"/>
        </w:rPr>
        <w:t>Enterprise Ireland high potential start-up clients</w:t>
      </w:r>
      <w:r w:rsidR="00B802CA" w:rsidRPr="00E51AEA">
        <w:rPr>
          <w:rStyle w:val="normaltextrun"/>
          <w:rFonts w:cstheme="minorHAnsi"/>
          <w:sz w:val="22"/>
          <w:szCs w:val="22"/>
        </w:rPr>
        <w:t>.</w:t>
      </w:r>
    </w:p>
    <w:p w14:paraId="64712A8B" w14:textId="6E2DEC3E" w:rsidR="00B32F91" w:rsidRPr="00E51AEA" w:rsidRDefault="00B32F91" w:rsidP="00B32F91">
      <w:pPr>
        <w:pStyle w:val="ListParagraph"/>
        <w:numPr>
          <w:ilvl w:val="0"/>
          <w:numId w:val="45"/>
        </w:numPr>
        <w:rPr>
          <w:rStyle w:val="normaltextrun"/>
          <w:rFonts w:asciiTheme="minorHAnsi" w:hAnsiTheme="minorHAnsi" w:cstheme="minorHAnsi"/>
          <w:sz w:val="22"/>
          <w:szCs w:val="22"/>
        </w:rPr>
      </w:pPr>
      <w:r w:rsidRPr="00E51AEA">
        <w:rPr>
          <w:rFonts w:asciiTheme="minorHAnsi" w:hAnsiTheme="minorHAnsi" w:cstheme="minorHAnsi"/>
          <w:sz w:val="22"/>
          <w:szCs w:val="22"/>
        </w:rPr>
        <w:t>Domestically traded services companies that operate in the residential sector may be eligible for certain project options (Lean Start and Digital Discovery) under ‘</w:t>
      </w:r>
      <w:r w:rsidRPr="00E51AEA">
        <w:rPr>
          <w:rFonts w:asciiTheme="minorHAnsi" w:hAnsiTheme="minorHAnsi" w:cstheme="minorHAnsi"/>
          <w:b/>
          <w:bCs/>
          <w:i/>
          <w:iCs/>
          <w:sz w:val="22"/>
          <w:szCs w:val="22"/>
        </w:rPr>
        <w:t>Built to Innovate</w:t>
      </w:r>
      <w:r w:rsidRPr="00E51AEA">
        <w:rPr>
          <w:rFonts w:asciiTheme="minorHAnsi" w:hAnsiTheme="minorHAnsi" w:cstheme="minorHAnsi"/>
          <w:sz w:val="22"/>
          <w:szCs w:val="22"/>
        </w:rPr>
        <w:t xml:space="preserve">’, an Enterprise Ireland action under the Housing for All plan.  See </w:t>
      </w:r>
      <w:hyperlink w:anchor="_Appendix_6:_Housing" w:history="1">
        <w:r w:rsidRPr="00E51AEA">
          <w:rPr>
            <w:rStyle w:val="Hyperlink"/>
            <w:rFonts w:asciiTheme="minorHAnsi" w:hAnsiTheme="minorHAnsi" w:cstheme="minorHAnsi"/>
            <w:sz w:val="22"/>
            <w:szCs w:val="22"/>
          </w:rPr>
          <w:t>Appendix 6</w:t>
        </w:r>
      </w:hyperlink>
      <w:r w:rsidRPr="00E51AEA">
        <w:rPr>
          <w:rFonts w:asciiTheme="minorHAnsi" w:hAnsiTheme="minorHAnsi" w:cstheme="minorHAnsi"/>
          <w:sz w:val="22"/>
          <w:szCs w:val="22"/>
        </w:rPr>
        <w:t xml:space="preserve"> for further details</w:t>
      </w:r>
      <w:r w:rsidR="00B802CA" w:rsidRPr="00E51AEA">
        <w:rPr>
          <w:rFonts w:asciiTheme="minorHAnsi" w:hAnsiTheme="minorHAnsi" w:cstheme="minorHAnsi"/>
          <w:sz w:val="22"/>
          <w:szCs w:val="22"/>
        </w:rPr>
        <w:t>.</w:t>
      </w:r>
    </w:p>
    <w:p w14:paraId="6479FDD2" w14:textId="77777777" w:rsidR="00B32F91" w:rsidRDefault="00B32F91" w:rsidP="00130F92">
      <w:pPr>
        <w:pStyle w:val="NoSpacing"/>
        <w:ind w:left="360"/>
        <w:rPr>
          <w:rStyle w:val="normaltextrun"/>
          <w:sz w:val="22"/>
          <w:szCs w:val="22"/>
        </w:rPr>
      </w:pPr>
    </w:p>
    <w:p w14:paraId="370B4DA3" w14:textId="77777777" w:rsidR="00B32F91" w:rsidRPr="00E51AEA" w:rsidRDefault="00B32F91" w:rsidP="5D8D73D9">
      <w:pPr>
        <w:pStyle w:val="NoSpacing"/>
        <w:ind w:left="360"/>
        <w:rPr>
          <w:sz w:val="22"/>
          <w:szCs w:val="22"/>
          <w:lang w:val="en-GB"/>
        </w:rPr>
      </w:pPr>
      <w:r w:rsidRPr="5D8D73D9">
        <w:rPr>
          <w:rStyle w:val="normaltextrun"/>
          <w:sz w:val="22"/>
          <w:szCs w:val="22"/>
          <w:lang w:val="en-GB"/>
        </w:rPr>
        <w:t xml:space="preserve">Client companies of the Local Enterprise Offices, </w:t>
      </w:r>
      <w:proofErr w:type="spellStart"/>
      <w:r w:rsidRPr="5D8D73D9">
        <w:rPr>
          <w:rStyle w:val="normaltextrun"/>
          <w:sz w:val="22"/>
          <w:szCs w:val="22"/>
          <w:lang w:val="en-GB"/>
        </w:rPr>
        <w:t>Údarás</w:t>
      </w:r>
      <w:proofErr w:type="spellEnd"/>
      <w:r w:rsidRPr="5D8D73D9">
        <w:rPr>
          <w:rStyle w:val="normaltextrun"/>
          <w:sz w:val="22"/>
          <w:szCs w:val="22"/>
          <w:lang w:val="en-GB"/>
        </w:rPr>
        <w:t xml:space="preserve"> na </w:t>
      </w:r>
      <w:proofErr w:type="spellStart"/>
      <w:r w:rsidRPr="5D8D73D9">
        <w:rPr>
          <w:rStyle w:val="normaltextrun"/>
          <w:sz w:val="22"/>
          <w:szCs w:val="22"/>
          <w:lang w:val="en-GB"/>
        </w:rPr>
        <w:t>Gaeltachta</w:t>
      </w:r>
      <w:proofErr w:type="spellEnd"/>
      <w:r w:rsidRPr="5D8D73D9">
        <w:rPr>
          <w:rStyle w:val="normaltextrun"/>
          <w:sz w:val="22"/>
          <w:szCs w:val="22"/>
          <w:lang w:val="en-GB"/>
        </w:rPr>
        <w:t xml:space="preserve"> or IDA Ireland should contact their agency advisor directly for relevant supports. </w:t>
      </w:r>
    </w:p>
    <w:p w14:paraId="47AE32B7" w14:textId="77777777" w:rsidR="00B32F91" w:rsidRPr="00763E96" w:rsidRDefault="00B32F91" w:rsidP="00763E96">
      <w:pPr>
        <w:pStyle w:val="ListParagraph"/>
        <w:ind w:left="770"/>
        <w:rPr>
          <w:sz w:val="22"/>
          <w:szCs w:val="22"/>
          <w:lang w:val="en-IE"/>
        </w:rPr>
      </w:pPr>
    </w:p>
    <w:p w14:paraId="00DC81C8" w14:textId="77777777" w:rsidR="00B32F91" w:rsidRPr="00DD0D3D" w:rsidRDefault="00B32F91" w:rsidP="00B32F91">
      <w:pPr>
        <w:pStyle w:val="Heading2"/>
        <w:keepLines/>
        <w:numPr>
          <w:ilvl w:val="1"/>
          <w:numId w:val="23"/>
        </w:numPr>
        <w:spacing w:before="160" w:after="0"/>
        <w:rPr>
          <w:rFonts w:asciiTheme="majorHAnsi" w:hAnsiTheme="majorHAnsi" w:cstheme="majorHAnsi"/>
          <w:color w:val="2F5496" w:themeColor="accent1" w:themeShade="BF"/>
          <w:lang w:val="en-IE" w:eastAsia="en-IE"/>
        </w:rPr>
      </w:pPr>
      <w:r w:rsidRPr="00DD0D3D">
        <w:rPr>
          <w:rFonts w:asciiTheme="majorHAnsi" w:hAnsiTheme="majorHAnsi" w:cstheme="majorHAnsi"/>
          <w:color w:val="2F5496" w:themeColor="accent1" w:themeShade="BF"/>
          <w:lang w:val="en-IE" w:eastAsia="en-IE"/>
        </w:rPr>
        <w:t>Ineligible Companies</w:t>
      </w:r>
    </w:p>
    <w:p w14:paraId="507CCD9C" w14:textId="7D4C4571" w:rsidR="005E5C00" w:rsidRPr="005E5C00" w:rsidRDefault="005E5C00" w:rsidP="005E5C00">
      <w:pPr>
        <w:pStyle w:val="ListParagraph"/>
        <w:numPr>
          <w:ilvl w:val="0"/>
          <w:numId w:val="50"/>
        </w:numPr>
        <w:rPr>
          <w:rFonts w:asciiTheme="minorHAnsi" w:hAnsiTheme="minorHAnsi" w:cstheme="minorHAnsi"/>
          <w:sz w:val="22"/>
          <w:szCs w:val="22"/>
          <w:lang w:val="en-IE" w:eastAsia="en-IE"/>
        </w:rPr>
      </w:pPr>
      <w:r w:rsidRPr="005E5C00">
        <w:rPr>
          <w:rStyle w:val="normaltextrun"/>
          <w:rFonts w:asciiTheme="minorHAnsi" w:eastAsiaTheme="minorEastAsia" w:hAnsiTheme="minorHAnsi" w:cstheme="minorHAnsi"/>
          <w:sz w:val="22"/>
          <w:szCs w:val="22"/>
          <w:lang w:val="en-US" w:eastAsia="en-US"/>
        </w:rPr>
        <w:t>Companies operating in the coal or steel sector.</w:t>
      </w:r>
    </w:p>
    <w:p w14:paraId="20A015BD" w14:textId="1B44983A" w:rsidR="005E5C00" w:rsidRPr="005E5C00" w:rsidRDefault="005E5C00" w:rsidP="005E5C00">
      <w:pPr>
        <w:pStyle w:val="ListParagraph"/>
        <w:numPr>
          <w:ilvl w:val="0"/>
          <w:numId w:val="50"/>
        </w:numPr>
        <w:rPr>
          <w:rFonts w:asciiTheme="minorHAnsi" w:hAnsiTheme="minorHAnsi" w:cstheme="minorHAnsi"/>
          <w:sz w:val="22"/>
          <w:szCs w:val="22"/>
          <w:lang w:val="en-IE" w:eastAsia="en-IE"/>
        </w:rPr>
      </w:pPr>
      <w:r w:rsidRPr="005E5C00">
        <w:rPr>
          <w:rStyle w:val="normaltextrun"/>
          <w:rFonts w:asciiTheme="minorHAnsi" w:eastAsiaTheme="minorEastAsia" w:hAnsiTheme="minorHAnsi" w:cstheme="minorHAnsi"/>
          <w:sz w:val="22"/>
          <w:szCs w:val="22"/>
          <w:lang w:val="en-US" w:eastAsia="en-US"/>
        </w:rPr>
        <w:t>Companies active in the primary agricultural, fishery or aquaculture sectors.</w:t>
      </w:r>
    </w:p>
    <w:p w14:paraId="22BDBE57" w14:textId="4C22FA01" w:rsidR="00AD5503" w:rsidRPr="007E77E3" w:rsidRDefault="005E5C00" w:rsidP="00AD5503">
      <w:pPr>
        <w:pStyle w:val="ListParagraph"/>
        <w:numPr>
          <w:ilvl w:val="0"/>
          <w:numId w:val="50"/>
        </w:numPr>
        <w:rPr>
          <w:rStyle w:val="normaltextrun"/>
          <w:rFonts w:asciiTheme="minorHAnsi" w:hAnsiTheme="minorHAnsi" w:cstheme="minorHAnsi"/>
          <w:sz w:val="22"/>
          <w:szCs w:val="22"/>
          <w:lang w:val="en-IE" w:eastAsia="en-IE"/>
        </w:rPr>
      </w:pPr>
      <w:r w:rsidRPr="005E5C00">
        <w:rPr>
          <w:rStyle w:val="normaltextrun"/>
          <w:rFonts w:asciiTheme="minorHAnsi" w:eastAsiaTheme="minorEastAsia" w:hAnsiTheme="minorHAnsi" w:cstheme="minorHAnsi"/>
          <w:sz w:val="22"/>
          <w:szCs w:val="22"/>
          <w:lang w:val="en-US" w:eastAsia="en-US"/>
        </w:rPr>
        <w:t>Companies involved in activities that Enterprise Ireland considers as ineligible or as involving an unacceptable reputational risk.  Ineligible activities include activities relating to:</w:t>
      </w:r>
    </w:p>
    <w:p w14:paraId="569B5BAB" w14:textId="15B3D387" w:rsidR="00AD5503" w:rsidRPr="007E77E3" w:rsidRDefault="00AD5503" w:rsidP="007E77E3">
      <w:pPr>
        <w:pStyle w:val="ListParagraph"/>
        <w:numPr>
          <w:ilvl w:val="0"/>
          <w:numId w:val="47"/>
        </w:numPr>
        <w:spacing w:line="264" w:lineRule="auto"/>
        <w:textAlignment w:val="baseline"/>
        <w:rPr>
          <w:rFonts w:asciiTheme="minorHAnsi" w:eastAsia="Times New Roman" w:hAnsiTheme="minorHAnsi" w:cstheme="minorHAnsi"/>
          <w:color w:val="3A3A3A"/>
          <w:sz w:val="22"/>
          <w:szCs w:val="22"/>
          <w:lang w:val="en-IE" w:eastAsia="en-IE"/>
        </w:rPr>
      </w:pPr>
      <w:r w:rsidRPr="00E51AEA">
        <w:rPr>
          <w:rFonts w:asciiTheme="minorHAnsi" w:eastAsia="Times New Roman" w:hAnsiTheme="minorHAnsi" w:cstheme="minorHAnsi"/>
          <w:color w:val="3A3A3A"/>
          <w:sz w:val="22"/>
          <w:szCs w:val="22"/>
          <w:lang w:val="en-IE" w:eastAsia="en-IE"/>
        </w:rPr>
        <w:t xml:space="preserve">The gambling sector, including ‘gaming’ (as defined in the Gaming and </w:t>
      </w:r>
      <w:r w:rsidRPr="007E77E3">
        <w:rPr>
          <w:rFonts w:asciiTheme="minorHAnsi" w:eastAsia="Times New Roman" w:hAnsiTheme="minorHAnsi" w:cstheme="minorHAnsi"/>
          <w:color w:val="3A3A3A"/>
          <w:sz w:val="22"/>
          <w:szCs w:val="22"/>
          <w:lang w:val="en-IE" w:eastAsia="en-IE"/>
        </w:rPr>
        <w:t>Lotteries Act 1956).</w:t>
      </w:r>
    </w:p>
    <w:p w14:paraId="622C24E6" w14:textId="6CA84E04" w:rsidR="00AD5503" w:rsidRPr="007E77E3" w:rsidRDefault="007E77E3" w:rsidP="007E77E3">
      <w:pPr>
        <w:pStyle w:val="ListParagraph"/>
        <w:numPr>
          <w:ilvl w:val="0"/>
          <w:numId w:val="51"/>
        </w:numPr>
        <w:rPr>
          <w:rFonts w:asciiTheme="minorHAnsi" w:eastAsia="Times New Roman" w:hAnsiTheme="minorHAnsi" w:cstheme="minorHAnsi"/>
          <w:color w:val="3A3A3A"/>
          <w:sz w:val="22"/>
          <w:szCs w:val="22"/>
          <w:lang w:val="en-IE" w:eastAsia="en-IE"/>
        </w:rPr>
      </w:pPr>
      <w:r w:rsidRPr="007E77E3">
        <w:rPr>
          <w:rFonts w:asciiTheme="minorHAnsi" w:eastAsia="Times New Roman" w:hAnsiTheme="minorHAnsi" w:cstheme="minorHAnsi"/>
          <w:color w:val="3A3A3A"/>
          <w:sz w:val="22"/>
          <w:szCs w:val="22"/>
          <w:lang w:val="en-IE" w:eastAsia="en-IE"/>
        </w:rPr>
        <w:t>Adult entertainment.</w:t>
      </w:r>
    </w:p>
    <w:p w14:paraId="32DC0794" w14:textId="19B761EF" w:rsidR="007E77E3" w:rsidRPr="007E77E3" w:rsidRDefault="007E77E3" w:rsidP="007E77E3">
      <w:pPr>
        <w:pStyle w:val="ListParagraph"/>
        <w:numPr>
          <w:ilvl w:val="0"/>
          <w:numId w:val="51"/>
        </w:numPr>
        <w:rPr>
          <w:rFonts w:asciiTheme="minorHAnsi" w:eastAsia="Times New Roman" w:hAnsiTheme="minorHAnsi" w:cstheme="minorHAnsi"/>
          <w:color w:val="3A3A3A"/>
          <w:sz w:val="22"/>
          <w:szCs w:val="22"/>
          <w:lang w:val="en-IE" w:eastAsia="en-IE"/>
        </w:rPr>
      </w:pPr>
      <w:r w:rsidRPr="007E77E3">
        <w:rPr>
          <w:rFonts w:asciiTheme="minorHAnsi" w:eastAsia="Times New Roman" w:hAnsiTheme="minorHAnsi" w:cstheme="minorHAnsi"/>
          <w:color w:val="3A3A3A"/>
          <w:sz w:val="22"/>
          <w:szCs w:val="22"/>
          <w:lang w:val="en-IE" w:eastAsia="en-IE"/>
        </w:rPr>
        <w:t>Tobacco and tobacco related products.</w:t>
      </w:r>
    </w:p>
    <w:p w14:paraId="2640E699" w14:textId="00CD6792" w:rsidR="007E77E3" w:rsidRPr="007E77E3" w:rsidRDefault="007E77E3" w:rsidP="007E77E3">
      <w:pPr>
        <w:pStyle w:val="ListParagraph"/>
        <w:numPr>
          <w:ilvl w:val="0"/>
          <w:numId w:val="51"/>
        </w:numPr>
        <w:rPr>
          <w:rStyle w:val="normaltextrun"/>
          <w:rFonts w:asciiTheme="minorHAnsi" w:hAnsiTheme="minorHAnsi" w:cstheme="minorHAnsi"/>
          <w:sz w:val="22"/>
          <w:szCs w:val="22"/>
          <w:lang w:val="en-IE" w:eastAsia="en-IE"/>
        </w:rPr>
      </w:pPr>
      <w:r w:rsidRPr="007E77E3">
        <w:rPr>
          <w:rFonts w:asciiTheme="minorHAnsi" w:eastAsia="Times New Roman" w:hAnsiTheme="minorHAnsi" w:cstheme="minorHAnsi"/>
          <w:color w:val="3A3A3A"/>
          <w:sz w:val="22"/>
          <w:szCs w:val="22"/>
          <w:lang w:val="en-IE" w:eastAsia="en-IE"/>
        </w:rPr>
        <w:t>Cannabis-based products which are not authorised as medicines.</w:t>
      </w:r>
    </w:p>
    <w:p w14:paraId="043C3FCE" w14:textId="77777777" w:rsidR="00B32F91" w:rsidRDefault="00B32F91" w:rsidP="00B62403">
      <w:pPr>
        <w:rPr>
          <w:rFonts w:ascii="Arial" w:hAnsi="Arial" w:cs="Arial"/>
        </w:rPr>
      </w:pPr>
    </w:p>
    <w:p w14:paraId="478ECB2A" w14:textId="77777777" w:rsidR="007E77E3" w:rsidRPr="00444A4B" w:rsidRDefault="007E77E3" w:rsidP="00B62403">
      <w:pPr>
        <w:rPr>
          <w:rFonts w:ascii="Arial" w:hAnsi="Arial" w:cs="Arial"/>
        </w:rPr>
      </w:pPr>
    </w:p>
    <w:p w14:paraId="16688054" w14:textId="2EF80DC7" w:rsidR="00B32F91" w:rsidRDefault="00B32F91" w:rsidP="007E77E3">
      <w:pPr>
        <w:pStyle w:val="Heading2"/>
        <w:keepLines/>
        <w:numPr>
          <w:ilvl w:val="1"/>
          <w:numId w:val="23"/>
        </w:numPr>
        <w:spacing w:before="160" w:after="0"/>
        <w:rPr>
          <w:rFonts w:asciiTheme="majorHAnsi" w:hAnsiTheme="majorHAnsi" w:cstheme="majorHAnsi"/>
          <w:lang w:val="en-IE" w:eastAsia="en-IE"/>
        </w:rPr>
      </w:pPr>
      <w:r w:rsidRPr="00DD0D3D">
        <w:rPr>
          <w:rFonts w:asciiTheme="majorHAnsi" w:hAnsiTheme="majorHAnsi" w:cstheme="majorHAnsi"/>
          <w:color w:val="2F5496" w:themeColor="accent1" w:themeShade="BF"/>
          <w:lang w:val="en-IE" w:eastAsia="en-IE"/>
        </w:rPr>
        <w:t xml:space="preserve"> Eligible Costs, Support Rate and Limits</w:t>
      </w:r>
    </w:p>
    <w:p w14:paraId="022295CC" w14:textId="77777777" w:rsidR="007E77E3" w:rsidRPr="007E77E3" w:rsidRDefault="007E77E3" w:rsidP="007E77E3">
      <w:pPr>
        <w:rPr>
          <w:lang w:val="en-IE" w:eastAsia="en-IE"/>
        </w:rPr>
      </w:pPr>
    </w:p>
    <w:tbl>
      <w:tblPr>
        <w:tblW w:w="10198" w:type="dxa"/>
        <w:tblInd w:w="-9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2268"/>
        <w:gridCol w:w="3260"/>
        <w:gridCol w:w="3402"/>
      </w:tblGrid>
      <w:tr w:rsidR="00B32F91" w:rsidRPr="000B1D69" w14:paraId="71529B2F" w14:textId="77777777" w:rsidTr="4267B602">
        <w:tc>
          <w:tcPr>
            <w:tcW w:w="1268" w:type="dxa"/>
            <w:tcBorders>
              <w:top w:val="single" w:sz="6" w:space="0" w:color="auto"/>
              <w:left w:val="single" w:sz="6" w:space="0" w:color="auto"/>
              <w:bottom w:val="single" w:sz="4" w:space="0" w:color="auto"/>
              <w:right w:val="single" w:sz="6" w:space="0" w:color="auto"/>
            </w:tcBorders>
          </w:tcPr>
          <w:p w14:paraId="420FDCB9" w14:textId="77777777" w:rsidR="00B32F91" w:rsidRPr="003E53F2" w:rsidRDefault="00B32F91" w:rsidP="4267B602">
            <w:pPr>
              <w:textAlignment w:val="baseline"/>
              <w:rPr>
                <w:rFonts w:asciiTheme="minorHAnsi" w:eastAsia="Times New Roman" w:hAnsiTheme="minorHAnsi" w:cstheme="minorBidi"/>
                <w:b/>
                <w:bCs/>
                <w:sz w:val="22"/>
                <w:szCs w:val="22"/>
                <w:lang w:eastAsia="en-IE"/>
              </w:rPr>
            </w:pPr>
            <w:r w:rsidRPr="003E53F2">
              <w:rPr>
                <w:rFonts w:asciiTheme="minorHAnsi" w:eastAsia="Times New Roman" w:hAnsiTheme="minorHAnsi" w:cstheme="minorBidi"/>
                <w:b/>
                <w:bCs/>
                <w:sz w:val="22"/>
                <w:szCs w:val="22"/>
                <w:lang w:eastAsia="en-IE"/>
              </w:rPr>
              <w:t>Cost Category</w:t>
            </w:r>
            <w:r w:rsidRPr="003E53F2">
              <w:rPr>
                <w:rFonts w:asciiTheme="minorHAnsi" w:eastAsia="Times New Roman" w:hAnsiTheme="minorHAnsi" w:cstheme="minorBidi"/>
                <w:sz w:val="22"/>
                <w:szCs w:val="22"/>
                <w:lang w:val="en-IE" w:eastAsia="en-IE"/>
              </w:rPr>
              <w:t> </w:t>
            </w:r>
          </w:p>
        </w:tc>
        <w:tc>
          <w:tcPr>
            <w:tcW w:w="2268" w:type="dxa"/>
            <w:tcBorders>
              <w:top w:val="single" w:sz="6" w:space="0" w:color="auto"/>
              <w:left w:val="single" w:sz="6" w:space="0" w:color="auto"/>
              <w:bottom w:val="single" w:sz="4" w:space="0" w:color="auto"/>
              <w:right w:val="single" w:sz="6" w:space="0" w:color="auto"/>
            </w:tcBorders>
            <w:shd w:val="clear" w:color="auto" w:fill="auto"/>
          </w:tcPr>
          <w:p w14:paraId="7593869C" w14:textId="77777777" w:rsidR="00B32F91" w:rsidRPr="003E53F2" w:rsidRDefault="00B32F91" w:rsidP="4267B602">
            <w:pPr>
              <w:textAlignment w:val="baseline"/>
              <w:rPr>
                <w:rFonts w:asciiTheme="minorHAnsi" w:eastAsia="Times New Roman" w:hAnsiTheme="minorHAnsi" w:cstheme="minorBidi"/>
                <w:sz w:val="22"/>
                <w:szCs w:val="22"/>
                <w:lang w:val="en-IE" w:eastAsia="en-IE"/>
              </w:rPr>
            </w:pPr>
            <w:r w:rsidRPr="003E53F2">
              <w:rPr>
                <w:rFonts w:asciiTheme="minorHAnsi" w:eastAsia="Times New Roman" w:hAnsiTheme="minorHAnsi" w:cstheme="minorBidi"/>
                <w:b/>
                <w:bCs/>
                <w:sz w:val="22"/>
                <w:szCs w:val="22"/>
                <w:lang w:eastAsia="en-IE"/>
              </w:rPr>
              <w:t>Project Option</w:t>
            </w:r>
          </w:p>
        </w:tc>
        <w:tc>
          <w:tcPr>
            <w:tcW w:w="3260" w:type="dxa"/>
            <w:tcBorders>
              <w:top w:val="single" w:sz="6" w:space="0" w:color="auto"/>
              <w:left w:val="nil"/>
              <w:bottom w:val="single" w:sz="4" w:space="0" w:color="auto"/>
              <w:right w:val="single" w:sz="6" w:space="0" w:color="auto"/>
            </w:tcBorders>
            <w:shd w:val="clear" w:color="auto" w:fill="auto"/>
            <w:hideMark/>
          </w:tcPr>
          <w:p w14:paraId="37A013F8" w14:textId="77777777" w:rsidR="00B32F91" w:rsidRPr="003E53F2" w:rsidRDefault="00B32F91" w:rsidP="00C76886">
            <w:pPr>
              <w:textAlignment w:val="baseline"/>
              <w:rPr>
                <w:rFonts w:asciiTheme="minorHAnsi" w:eastAsia="Times New Roman" w:hAnsiTheme="minorHAnsi" w:cstheme="minorHAnsi"/>
                <w:sz w:val="22"/>
                <w:szCs w:val="22"/>
                <w:lang w:val="en-IE" w:eastAsia="en-IE"/>
              </w:rPr>
            </w:pPr>
            <w:r w:rsidRPr="003E53F2">
              <w:rPr>
                <w:rFonts w:asciiTheme="minorHAnsi" w:eastAsia="Times New Roman" w:hAnsiTheme="minorHAnsi" w:cstheme="minorHAnsi"/>
                <w:b/>
                <w:bCs/>
                <w:sz w:val="22"/>
                <w:szCs w:val="22"/>
                <w:lang w:eastAsia="en-IE"/>
              </w:rPr>
              <w:t>Eligible Cost</w:t>
            </w:r>
          </w:p>
        </w:tc>
        <w:tc>
          <w:tcPr>
            <w:tcW w:w="3402" w:type="dxa"/>
            <w:tcBorders>
              <w:top w:val="single" w:sz="6" w:space="0" w:color="auto"/>
              <w:left w:val="nil"/>
              <w:bottom w:val="single" w:sz="4" w:space="0" w:color="auto"/>
              <w:right w:val="single" w:sz="6" w:space="0" w:color="auto"/>
            </w:tcBorders>
            <w:shd w:val="clear" w:color="auto" w:fill="auto"/>
            <w:hideMark/>
          </w:tcPr>
          <w:p w14:paraId="132AF055" w14:textId="77777777" w:rsidR="00B32F91" w:rsidRPr="003E53F2" w:rsidRDefault="00B32F91" w:rsidP="4267B602">
            <w:pPr>
              <w:textAlignment w:val="baseline"/>
              <w:rPr>
                <w:rFonts w:asciiTheme="minorHAnsi" w:eastAsia="Times New Roman" w:hAnsiTheme="minorHAnsi" w:cstheme="minorBidi"/>
                <w:sz w:val="22"/>
                <w:szCs w:val="22"/>
                <w:lang w:val="en-IE" w:eastAsia="en-IE"/>
              </w:rPr>
            </w:pPr>
            <w:r w:rsidRPr="003E53F2">
              <w:rPr>
                <w:rFonts w:asciiTheme="minorHAnsi" w:eastAsia="Times New Roman" w:hAnsiTheme="minorHAnsi" w:cstheme="minorBidi"/>
                <w:b/>
                <w:bCs/>
                <w:sz w:val="22"/>
                <w:szCs w:val="22"/>
                <w:lang w:eastAsia="en-IE"/>
              </w:rPr>
              <w:t>Maximum Grant</w:t>
            </w:r>
          </w:p>
        </w:tc>
      </w:tr>
      <w:tr w:rsidR="00B32F91" w:rsidRPr="000B1D69" w14:paraId="59902911" w14:textId="77777777" w:rsidTr="4267B602">
        <w:tc>
          <w:tcPr>
            <w:tcW w:w="1268" w:type="dxa"/>
            <w:tcBorders>
              <w:top w:val="single" w:sz="4" w:space="0" w:color="auto"/>
              <w:left w:val="single" w:sz="4" w:space="0" w:color="auto"/>
              <w:right w:val="single" w:sz="4" w:space="0" w:color="auto"/>
            </w:tcBorders>
            <w:vAlign w:val="center"/>
          </w:tcPr>
          <w:p w14:paraId="09183DA8" w14:textId="77777777" w:rsidR="00B32F91" w:rsidRPr="003E53F2" w:rsidRDefault="00B32F91" w:rsidP="4267B602">
            <w:pPr>
              <w:jc w:val="center"/>
              <w:textAlignment w:val="baseline"/>
              <w:rPr>
                <w:rFonts w:asciiTheme="minorHAnsi" w:eastAsia="Times New Roman" w:hAnsiTheme="minorHAnsi" w:cstheme="minorBidi"/>
                <w:sz w:val="22"/>
                <w:szCs w:val="22"/>
                <w:lang w:eastAsia="en-IE"/>
              </w:rPr>
            </w:pPr>
            <w:r w:rsidRPr="003E53F2">
              <w:rPr>
                <w:rFonts w:asciiTheme="minorHAnsi" w:eastAsia="Times New Roman" w:hAnsiTheme="minorHAnsi" w:cstheme="minorBidi"/>
                <w:sz w:val="22"/>
                <w:szCs w:val="22"/>
                <w:lang w:eastAsia="en-IE"/>
              </w:rPr>
              <w:t xml:space="preserve">Advisory </w:t>
            </w:r>
          </w:p>
          <w:p w14:paraId="020218F2" w14:textId="77777777" w:rsidR="00B32F91" w:rsidRPr="003E53F2" w:rsidRDefault="00B32F91" w:rsidP="4267B602">
            <w:pPr>
              <w:jc w:val="center"/>
              <w:textAlignment w:val="baseline"/>
              <w:rPr>
                <w:rFonts w:asciiTheme="minorHAnsi" w:eastAsia="Times New Roman" w:hAnsiTheme="minorHAnsi" w:cstheme="minorBidi"/>
                <w:sz w:val="22"/>
                <w:szCs w:val="22"/>
                <w:lang w:val="en-IE" w:eastAsia="en-IE"/>
              </w:rPr>
            </w:pPr>
            <w:r w:rsidRPr="003E53F2">
              <w:rPr>
                <w:rFonts w:asciiTheme="minorHAnsi" w:eastAsia="Times New Roman" w:hAnsiTheme="minorHAnsi" w:cstheme="minorBidi"/>
                <w:sz w:val="22"/>
                <w:szCs w:val="22"/>
                <w:lang w:eastAsia="en-IE"/>
              </w:rPr>
              <w:t>Services</w:t>
            </w:r>
          </w:p>
          <w:p w14:paraId="2583B742" w14:textId="77777777" w:rsidR="00B32F91" w:rsidRPr="003E53F2" w:rsidRDefault="00B32F91" w:rsidP="4267B602">
            <w:pPr>
              <w:textAlignment w:val="baseline"/>
              <w:rPr>
                <w:rFonts w:asciiTheme="minorHAnsi" w:eastAsia="Times New Roman" w:hAnsiTheme="minorHAnsi" w:cstheme="minorBidi"/>
                <w:sz w:val="22"/>
                <w:szCs w:val="22"/>
                <w:lang w:eastAsia="en-IE"/>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91A336C" w14:textId="77777777" w:rsidR="00B32F91" w:rsidRPr="003E53F2" w:rsidRDefault="00B32F91" w:rsidP="4267B602">
            <w:pPr>
              <w:textAlignment w:val="baseline"/>
              <w:rPr>
                <w:rFonts w:asciiTheme="minorHAnsi" w:eastAsia="Times New Roman" w:hAnsiTheme="minorHAnsi" w:cstheme="minorBidi"/>
                <w:sz w:val="22"/>
                <w:szCs w:val="22"/>
                <w:lang w:eastAsia="en-IE"/>
              </w:rPr>
            </w:pPr>
            <w:r w:rsidRPr="003E53F2">
              <w:rPr>
                <w:rFonts w:asciiTheme="minorHAnsi" w:eastAsia="Times New Roman" w:hAnsiTheme="minorHAnsi" w:cstheme="minorBidi"/>
                <w:sz w:val="22"/>
                <w:szCs w:val="22"/>
                <w:lang w:eastAsia="en-IE"/>
              </w:rPr>
              <w:t>Lean Start</w:t>
            </w:r>
          </w:p>
          <w:p w14:paraId="0D339BEA" w14:textId="77777777" w:rsidR="00B32F91" w:rsidRPr="003E53F2" w:rsidRDefault="00B32F91" w:rsidP="4267B602">
            <w:pPr>
              <w:textAlignment w:val="baseline"/>
              <w:rPr>
                <w:rFonts w:asciiTheme="minorHAnsi" w:eastAsia="Times New Roman" w:hAnsiTheme="minorHAnsi" w:cstheme="minorBidi"/>
                <w:sz w:val="22"/>
                <w:szCs w:val="22"/>
                <w:lang w:eastAsia="en-IE"/>
              </w:rPr>
            </w:pPr>
            <w:r w:rsidRPr="003E53F2">
              <w:rPr>
                <w:rFonts w:asciiTheme="minorHAnsi" w:eastAsia="Times New Roman" w:hAnsiTheme="minorHAnsi" w:cstheme="minorBidi"/>
                <w:sz w:val="22"/>
                <w:szCs w:val="22"/>
                <w:lang w:eastAsia="en-IE"/>
              </w:rPr>
              <w:t>Green Start</w:t>
            </w:r>
          </w:p>
          <w:p w14:paraId="0FF12625" w14:textId="77777777" w:rsidR="00B32F91" w:rsidRPr="003E53F2" w:rsidRDefault="00B32F91" w:rsidP="4267B602">
            <w:pPr>
              <w:textAlignment w:val="baseline"/>
              <w:rPr>
                <w:rFonts w:asciiTheme="minorHAnsi" w:eastAsia="Times New Roman" w:hAnsiTheme="minorHAnsi" w:cstheme="minorBidi"/>
                <w:sz w:val="22"/>
                <w:szCs w:val="22"/>
                <w:lang w:eastAsia="en-IE"/>
              </w:rPr>
            </w:pPr>
            <w:r w:rsidRPr="003E53F2">
              <w:rPr>
                <w:rFonts w:asciiTheme="minorHAnsi" w:eastAsia="Times New Roman" w:hAnsiTheme="minorHAnsi" w:cstheme="minorBidi"/>
                <w:sz w:val="22"/>
                <w:szCs w:val="22"/>
                <w:lang w:eastAsia="en-IE"/>
              </w:rPr>
              <w:t>IP Start</w:t>
            </w:r>
          </w:p>
          <w:p w14:paraId="31510D85" w14:textId="77777777" w:rsidR="00B32F91" w:rsidRPr="003E53F2" w:rsidRDefault="00B32F91" w:rsidP="4267B602">
            <w:pPr>
              <w:textAlignment w:val="baseline"/>
              <w:rPr>
                <w:rFonts w:asciiTheme="minorHAnsi" w:eastAsia="Times New Roman" w:hAnsiTheme="minorHAnsi" w:cstheme="minorBidi"/>
                <w:sz w:val="22"/>
                <w:szCs w:val="22"/>
                <w:lang w:eastAsia="en-IE"/>
              </w:rPr>
            </w:pPr>
            <w:r w:rsidRPr="003E53F2">
              <w:rPr>
                <w:rFonts w:asciiTheme="minorHAnsi" w:eastAsia="Times New Roman" w:hAnsiTheme="minorHAnsi" w:cstheme="minorBidi"/>
                <w:sz w:val="22"/>
                <w:szCs w:val="22"/>
                <w:lang w:eastAsia="en-IE"/>
              </w:rPr>
              <w:t>Digital Discovery</w:t>
            </w:r>
          </w:p>
          <w:p w14:paraId="0D806403" w14:textId="77777777" w:rsidR="00B32F91" w:rsidRPr="003E53F2" w:rsidRDefault="00B32F91" w:rsidP="4267B602">
            <w:pPr>
              <w:textAlignment w:val="baseline"/>
              <w:rPr>
                <w:rFonts w:asciiTheme="minorHAnsi" w:eastAsia="Times New Roman" w:hAnsiTheme="minorHAnsi" w:cstheme="minorBidi"/>
                <w:sz w:val="22"/>
                <w:szCs w:val="22"/>
                <w:lang w:val="en-IE" w:eastAsia="en-IE"/>
              </w:rPr>
            </w:pPr>
            <w:r w:rsidRPr="003E53F2">
              <w:rPr>
                <w:rFonts w:asciiTheme="minorHAnsi" w:eastAsia="Times New Roman" w:hAnsiTheme="minorHAnsi" w:cstheme="minorBidi"/>
                <w:sz w:val="22"/>
                <w:szCs w:val="22"/>
                <w:lang w:eastAsia="en-IE"/>
              </w:rPr>
              <w:t>Strategic Consultancy</w:t>
            </w:r>
            <w:r w:rsidRPr="003E53F2">
              <w:rPr>
                <w:rFonts w:asciiTheme="minorHAnsi" w:eastAsia="Times New Roman" w:hAnsiTheme="minorHAnsi" w:cstheme="minorBidi"/>
                <w:sz w:val="22"/>
                <w:szCs w:val="22"/>
                <w:lang w:val="en-IE" w:eastAsia="en-IE"/>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11897F84" w14:textId="77777777" w:rsidR="00B32F91" w:rsidRPr="003E53F2" w:rsidRDefault="00B32F91" w:rsidP="00C76886">
            <w:pPr>
              <w:textAlignment w:val="baseline"/>
              <w:rPr>
                <w:rFonts w:asciiTheme="minorHAnsi" w:hAnsiTheme="minorHAnsi" w:cstheme="minorHAnsi"/>
                <w:sz w:val="22"/>
                <w:szCs w:val="22"/>
              </w:rPr>
            </w:pPr>
            <w:r w:rsidRPr="003E53F2">
              <w:rPr>
                <w:rFonts w:asciiTheme="minorHAnsi" w:hAnsiTheme="minorHAnsi" w:cstheme="minorHAnsi"/>
                <w:sz w:val="22"/>
                <w:szCs w:val="22"/>
              </w:rPr>
              <w:t xml:space="preserve">Advisory Services where the eligible costs are capped at €900* per day. </w:t>
            </w:r>
          </w:p>
          <w:p w14:paraId="62ED95CF" w14:textId="77777777" w:rsidR="00B32F91" w:rsidRPr="003E53F2" w:rsidRDefault="00B32F91" w:rsidP="00C76886">
            <w:pPr>
              <w:textAlignment w:val="baseline"/>
              <w:rPr>
                <w:rFonts w:asciiTheme="minorHAnsi" w:hAnsiTheme="minorHAnsi" w:cstheme="minorHAnsi"/>
                <w:sz w:val="22"/>
                <w:szCs w:val="22"/>
              </w:rPr>
            </w:pPr>
          </w:p>
          <w:p w14:paraId="4F992281" w14:textId="77777777" w:rsidR="00B32F91" w:rsidRPr="003E53F2" w:rsidRDefault="00B32F91" w:rsidP="00C76886">
            <w:pPr>
              <w:textAlignment w:val="baseline"/>
              <w:rPr>
                <w:rFonts w:asciiTheme="minorHAnsi" w:hAnsiTheme="minorHAnsi" w:cstheme="minorHAnsi"/>
                <w:sz w:val="22"/>
                <w:szCs w:val="22"/>
              </w:rPr>
            </w:pPr>
            <w:r w:rsidRPr="003E53F2">
              <w:rPr>
                <w:rFonts w:asciiTheme="minorHAnsi" w:hAnsiTheme="minorHAnsi" w:cstheme="minorHAnsi"/>
                <w:sz w:val="22"/>
                <w:szCs w:val="22"/>
              </w:rPr>
              <w:t xml:space="preserve">Minimum 3 days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0CD95D1" w14:textId="77777777" w:rsidR="00B32F91" w:rsidRPr="003E53F2" w:rsidRDefault="00B32F91" w:rsidP="4267B602">
            <w:pPr>
              <w:spacing w:after="160" w:line="22" w:lineRule="atLeast"/>
              <w:rPr>
                <w:rFonts w:asciiTheme="minorHAnsi" w:hAnsiTheme="minorHAnsi" w:cstheme="minorBidi"/>
                <w:sz w:val="22"/>
                <w:szCs w:val="22"/>
              </w:rPr>
            </w:pPr>
            <w:r w:rsidRPr="003E53F2">
              <w:rPr>
                <w:rFonts w:asciiTheme="minorHAnsi" w:hAnsiTheme="minorHAnsi" w:cstheme="minorBidi"/>
                <w:sz w:val="22"/>
                <w:szCs w:val="22"/>
              </w:rPr>
              <w:t xml:space="preserve">Maximum of €5,000 </w:t>
            </w:r>
          </w:p>
          <w:p w14:paraId="29F93C6F" w14:textId="6A3B6563" w:rsidR="00B32F91" w:rsidRPr="003E53F2" w:rsidRDefault="00B32F91" w:rsidP="4267B602">
            <w:pPr>
              <w:textAlignment w:val="baseline"/>
              <w:rPr>
                <w:rFonts w:asciiTheme="minorHAnsi" w:hAnsiTheme="minorHAnsi" w:cstheme="minorBidi"/>
                <w:sz w:val="22"/>
                <w:szCs w:val="22"/>
                <w:lang w:val="en-IE"/>
              </w:rPr>
            </w:pPr>
            <w:r w:rsidRPr="003E53F2">
              <w:rPr>
                <w:rFonts w:asciiTheme="minorHAnsi" w:hAnsiTheme="minorHAnsi" w:cstheme="minorBidi"/>
                <w:sz w:val="22"/>
                <w:szCs w:val="22"/>
              </w:rPr>
              <w:t xml:space="preserve">Based on a grant rate of 80% of max </w:t>
            </w:r>
          </w:p>
        </w:tc>
      </w:tr>
    </w:tbl>
    <w:p w14:paraId="0A845A9A" w14:textId="77777777" w:rsidR="00B32F91" w:rsidRPr="007E77E3" w:rsidRDefault="00B32F91" w:rsidP="003C5CCA">
      <w:pPr>
        <w:textAlignment w:val="baseline"/>
        <w:rPr>
          <w:rFonts w:asciiTheme="minorHAnsi" w:hAnsiTheme="minorHAnsi" w:cstheme="minorHAnsi"/>
          <w:sz w:val="22"/>
          <w:szCs w:val="22"/>
          <w:shd w:val="clear" w:color="auto" w:fill="FFFFFF"/>
        </w:rPr>
      </w:pPr>
      <w:r w:rsidRPr="007E77E3">
        <w:rPr>
          <w:rFonts w:asciiTheme="minorHAnsi" w:eastAsia="Times New Roman" w:hAnsiTheme="minorHAnsi" w:cstheme="minorHAnsi"/>
          <w:sz w:val="22"/>
          <w:szCs w:val="22"/>
          <w:lang w:eastAsia="en-IE"/>
        </w:rPr>
        <w:t>*</w:t>
      </w:r>
      <w:r w:rsidRPr="007E77E3">
        <w:rPr>
          <w:rFonts w:asciiTheme="minorHAnsi" w:hAnsiTheme="minorHAnsi" w:cstheme="minorHAnsi"/>
          <w:sz w:val="22"/>
          <w:szCs w:val="22"/>
          <w:shd w:val="clear" w:color="auto" w:fill="FFFFFF"/>
        </w:rPr>
        <w:t xml:space="preserve"> Note that while the maximum daily rate assisted by Enterprise Ireland is €900, the actual daily rate charged by a provider may be higher or lower.</w:t>
      </w:r>
    </w:p>
    <w:p w14:paraId="12948F3A" w14:textId="77777777" w:rsidR="00B32F91" w:rsidRPr="007E77E3" w:rsidRDefault="00B32F91" w:rsidP="003C5CCA">
      <w:pPr>
        <w:textAlignment w:val="baseline"/>
        <w:rPr>
          <w:rFonts w:asciiTheme="minorHAnsi" w:hAnsiTheme="minorHAnsi" w:cstheme="minorHAnsi"/>
          <w:sz w:val="22"/>
          <w:szCs w:val="22"/>
          <w:shd w:val="clear" w:color="auto" w:fill="FFFFFF"/>
        </w:rPr>
      </w:pPr>
    </w:p>
    <w:p w14:paraId="68477045" w14:textId="77777777" w:rsidR="00B32F91" w:rsidRPr="007E77E3" w:rsidRDefault="00B32F91" w:rsidP="00BD6261">
      <w:pPr>
        <w:rPr>
          <w:rFonts w:asciiTheme="minorHAnsi" w:hAnsiTheme="minorHAnsi" w:cstheme="minorHAnsi"/>
          <w:sz w:val="22"/>
          <w:szCs w:val="22"/>
        </w:rPr>
      </w:pPr>
      <w:r w:rsidRPr="007E77E3">
        <w:rPr>
          <w:rFonts w:asciiTheme="minorHAnsi" w:hAnsiTheme="minorHAnsi" w:cstheme="minorHAnsi"/>
          <w:sz w:val="22"/>
          <w:szCs w:val="22"/>
        </w:rPr>
        <w:t xml:space="preserve">More than one service provider may be used with the grant depending on the skillset required to carry out the engagement. </w:t>
      </w:r>
    </w:p>
    <w:p w14:paraId="17AAFCDB" w14:textId="77777777" w:rsidR="00B32F91" w:rsidRPr="00A10549" w:rsidRDefault="00B32F91" w:rsidP="00BD6261">
      <w:pPr>
        <w:rPr>
          <w:sz w:val="22"/>
          <w:szCs w:val="22"/>
        </w:rPr>
      </w:pPr>
    </w:p>
    <w:p w14:paraId="15B325B8" w14:textId="77777777" w:rsidR="00B32F91" w:rsidRPr="00444A4B" w:rsidRDefault="00B32F91" w:rsidP="00444A4B">
      <w:pPr>
        <w:pStyle w:val="Heading2"/>
        <w:rPr>
          <w:lang w:val="en-IE" w:eastAsia="en-IE"/>
        </w:rPr>
      </w:pPr>
      <w:r w:rsidRPr="00DD0D3D">
        <w:rPr>
          <w:rFonts w:asciiTheme="majorHAnsi" w:hAnsiTheme="majorHAnsi" w:cstheme="majorHAnsi"/>
          <w:color w:val="2F5496" w:themeColor="accent1" w:themeShade="BF"/>
          <w:lang w:val="en-IE" w:eastAsia="en-IE"/>
        </w:rPr>
        <w:t>2</w:t>
      </w:r>
      <w:r w:rsidRPr="00DD0D3D">
        <w:rPr>
          <w:color w:val="2F5496" w:themeColor="accent1" w:themeShade="BF"/>
          <w:lang w:val="en-IE" w:eastAsia="en-IE"/>
        </w:rPr>
        <w:t xml:space="preserve">. </w:t>
      </w:r>
      <w:r w:rsidRPr="00DD0D3D">
        <w:rPr>
          <w:rFonts w:asciiTheme="majorHAnsi" w:hAnsiTheme="majorHAnsi" w:cstheme="majorHAnsi"/>
          <w:color w:val="2F5496" w:themeColor="accent1" w:themeShade="BF"/>
          <w:lang w:val="en-IE" w:eastAsia="en-IE"/>
        </w:rPr>
        <w:t>Legal / State Aid Basis  </w:t>
      </w:r>
    </w:p>
    <w:p w14:paraId="14BAB440" w14:textId="77777777" w:rsidR="00B32F91" w:rsidRPr="00461BE7" w:rsidRDefault="00B32F91" w:rsidP="00057E4F">
      <w:pPr>
        <w:pStyle w:val="Heading2"/>
        <w:rPr>
          <w:rFonts w:asciiTheme="majorHAnsi" w:eastAsia="Times New Roman" w:hAnsiTheme="majorHAnsi" w:cstheme="majorHAnsi"/>
          <w:lang w:val="en-IE" w:eastAsia="en-IE"/>
        </w:rPr>
      </w:pPr>
      <w:r w:rsidRPr="00DD0D3D">
        <w:rPr>
          <w:rFonts w:asciiTheme="majorHAnsi" w:eastAsia="Times New Roman" w:hAnsiTheme="majorHAnsi" w:cstheme="majorHAnsi"/>
          <w:color w:val="2F5496" w:themeColor="accent1" w:themeShade="BF"/>
          <w:lang w:val="en-IE" w:eastAsia="en-IE"/>
        </w:rPr>
        <w:t>2.1 Access Advice</w:t>
      </w:r>
    </w:p>
    <w:p w14:paraId="59A1BBC3" w14:textId="77777777" w:rsidR="00B32F91" w:rsidRPr="00461BE7" w:rsidRDefault="00B32F91" w:rsidP="00057E4F">
      <w:pPr>
        <w:textAlignment w:val="baseline"/>
        <w:rPr>
          <w:rFonts w:asciiTheme="minorHAnsi" w:eastAsia="Times New Roman" w:hAnsiTheme="minorHAnsi" w:cstheme="minorHAnsi"/>
          <w:sz w:val="22"/>
          <w:szCs w:val="22"/>
          <w:lang w:val="en-IE" w:eastAsia="en-IE"/>
        </w:rPr>
      </w:pPr>
      <w:r w:rsidRPr="00461BE7">
        <w:rPr>
          <w:rFonts w:asciiTheme="minorHAnsi" w:eastAsia="Times New Roman" w:hAnsiTheme="minorHAnsi" w:cstheme="minorHAnsi"/>
          <w:sz w:val="22"/>
          <w:szCs w:val="22"/>
          <w:lang w:val="en-IE" w:eastAsia="en-IE"/>
        </w:rPr>
        <w:t>Access Advice is administered in accordance with:</w:t>
      </w:r>
    </w:p>
    <w:p w14:paraId="2CAD10BE" w14:textId="44037192" w:rsidR="00B32F91" w:rsidRPr="00461BE7" w:rsidRDefault="00B32F91" w:rsidP="00B32F91">
      <w:pPr>
        <w:pStyle w:val="ListParagraph"/>
        <w:numPr>
          <w:ilvl w:val="0"/>
          <w:numId w:val="24"/>
        </w:numPr>
        <w:spacing w:line="264" w:lineRule="auto"/>
        <w:textAlignment w:val="baseline"/>
        <w:rPr>
          <w:rFonts w:asciiTheme="minorHAnsi" w:eastAsia="Times New Roman" w:hAnsiTheme="minorHAnsi" w:cstheme="minorHAnsi"/>
          <w:sz w:val="22"/>
          <w:szCs w:val="22"/>
          <w:lang w:val="en-IE" w:eastAsia="en-IE"/>
        </w:rPr>
      </w:pPr>
      <w:r w:rsidRPr="00461BE7">
        <w:rPr>
          <w:rFonts w:asciiTheme="minorHAnsi" w:eastAsia="Times New Roman" w:hAnsiTheme="minorHAnsi" w:cstheme="minorHAnsi"/>
          <w:sz w:val="22"/>
          <w:szCs w:val="22"/>
          <w:lang w:val="en-IE" w:eastAsia="en-IE"/>
        </w:rPr>
        <w:t>the Industrial Development Act 1998, Section 7 (as amended)</w:t>
      </w:r>
      <w:r w:rsidR="0002220F" w:rsidRPr="00461BE7">
        <w:rPr>
          <w:rFonts w:asciiTheme="minorHAnsi" w:eastAsia="Times New Roman" w:hAnsiTheme="minorHAnsi" w:cstheme="minorHAnsi"/>
          <w:sz w:val="22"/>
          <w:szCs w:val="22"/>
          <w:lang w:val="en-IE" w:eastAsia="en-IE"/>
        </w:rPr>
        <w:t>,</w:t>
      </w:r>
    </w:p>
    <w:p w14:paraId="066807E4" w14:textId="0331C1CD" w:rsidR="00B32F91" w:rsidRPr="00461BE7" w:rsidRDefault="00B32F91" w:rsidP="00B32F91">
      <w:pPr>
        <w:pStyle w:val="ListParagraph"/>
        <w:numPr>
          <w:ilvl w:val="0"/>
          <w:numId w:val="24"/>
        </w:numPr>
        <w:spacing w:line="264" w:lineRule="auto"/>
        <w:textAlignment w:val="baseline"/>
        <w:rPr>
          <w:rFonts w:asciiTheme="minorHAnsi" w:eastAsia="Times New Roman" w:hAnsiTheme="minorHAnsi" w:cstheme="minorHAnsi"/>
          <w:sz w:val="22"/>
          <w:szCs w:val="22"/>
          <w:lang w:eastAsia="en-IE"/>
        </w:rPr>
      </w:pPr>
      <w:r w:rsidRPr="00461BE7">
        <w:rPr>
          <w:rFonts w:asciiTheme="minorHAnsi" w:hAnsiTheme="minorHAnsi" w:cstheme="minorHAnsi"/>
          <w:color w:val="000000"/>
          <w:sz w:val="22"/>
          <w:szCs w:val="22"/>
        </w:rPr>
        <w:t>Commission Regulation (EU) No 2023/2831 of 13</w:t>
      </w:r>
      <w:r w:rsidRPr="00461BE7">
        <w:rPr>
          <w:rFonts w:asciiTheme="minorHAnsi" w:hAnsiTheme="minorHAnsi" w:cstheme="minorHAnsi"/>
          <w:i/>
          <w:iCs/>
          <w:color w:val="000000"/>
          <w:sz w:val="22"/>
          <w:szCs w:val="22"/>
        </w:rPr>
        <w:t>th</w:t>
      </w:r>
      <w:r w:rsidRPr="00461BE7">
        <w:rPr>
          <w:rFonts w:asciiTheme="minorHAnsi" w:hAnsiTheme="minorHAnsi" w:cstheme="minorHAnsi"/>
          <w:color w:val="000000"/>
          <w:sz w:val="22"/>
          <w:szCs w:val="22"/>
        </w:rPr>
        <w:t xml:space="preserve"> of December 2023 (De Minimis Aid Regulation) as the State Aid basis</w:t>
      </w:r>
      <w:r w:rsidR="000A4240" w:rsidRPr="00461BE7">
        <w:rPr>
          <w:rFonts w:asciiTheme="minorHAnsi" w:hAnsiTheme="minorHAnsi" w:cstheme="minorHAnsi"/>
          <w:color w:val="000000"/>
          <w:sz w:val="22"/>
          <w:szCs w:val="22"/>
        </w:rPr>
        <w:t>,</w:t>
      </w:r>
    </w:p>
    <w:p w14:paraId="60037883" w14:textId="2738D188" w:rsidR="00B32F91" w:rsidRPr="00461BE7" w:rsidRDefault="000A4240" w:rsidP="00B32F91">
      <w:pPr>
        <w:pStyle w:val="ListParagraph"/>
        <w:numPr>
          <w:ilvl w:val="0"/>
          <w:numId w:val="24"/>
        </w:numPr>
        <w:spacing w:line="264" w:lineRule="auto"/>
        <w:textAlignment w:val="baseline"/>
        <w:rPr>
          <w:rFonts w:asciiTheme="minorHAnsi" w:eastAsia="Times New Roman" w:hAnsiTheme="minorHAnsi" w:cstheme="minorHAnsi"/>
          <w:sz w:val="22"/>
          <w:szCs w:val="22"/>
          <w:lang w:eastAsia="en-IE"/>
        </w:rPr>
      </w:pPr>
      <w:r w:rsidRPr="00461BE7">
        <w:rPr>
          <w:rFonts w:asciiTheme="minorHAnsi" w:eastAsia="Times New Roman" w:hAnsiTheme="minorHAnsi" w:cstheme="minorHAnsi"/>
          <w:sz w:val="22"/>
          <w:szCs w:val="22"/>
          <w:lang w:eastAsia="en-IE"/>
        </w:rPr>
        <w:t>u</w:t>
      </w:r>
      <w:r w:rsidR="00B32F91" w:rsidRPr="00461BE7">
        <w:rPr>
          <w:rFonts w:asciiTheme="minorHAnsi" w:eastAsia="Times New Roman" w:hAnsiTheme="minorHAnsi" w:cstheme="minorHAnsi"/>
          <w:sz w:val="22"/>
          <w:szCs w:val="22"/>
          <w:lang w:eastAsia="en-IE"/>
        </w:rPr>
        <w:t>nder</w:t>
      </w:r>
      <w:r w:rsidRPr="00461BE7">
        <w:rPr>
          <w:rFonts w:asciiTheme="minorHAnsi" w:eastAsia="Times New Roman" w:hAnsiTheme="minorHAnsi" w:cstheme="minorHAnsi"/>
          <w:sz w:val="22"/>
          <w:szCs w:val="22"/>
          <w:lang w:eastAsia="en-IE"/>
        </w:rPr>
        <w:t xml:space="preserve"> approval</w:t>
      </w:r>
      <w:r w:rsidR="00D22045" w:rsidRPr="00461BE7">
        <w:rPr>
          <w:rFonts w:asciiTheme="minorHAnsi" w:eastAsia="Times New Roman" w:hAnsiTheme="minorHAnsi" w:cstheme="minorHAnsi"/>
          <w:sz w:val="22"/>
          <w:szCs w:val="22"/>
          <w:lang w:eastAsia="en-IE"/>
        </w:rPr>
        <w:t xml:space="preserve"> powers</w:t>
      </w:r>
      <w:r w:rsidR="00B32F91" w:rsidRPr="00461BE7">
        <w:rPr>
          <w:rFonts w:asciiTheme="minorHAnsi" w:eastAsia="Times New Roman" w:hAnsiTheme="minorHAnsi" w:cstheme="minorHAnsi"/>
          <w:sz w:val="22"/>
          <w:szCs w:val="22"/>
          <w:lang w:eastAsia="en-IE"/>
        </w:rPr>
        <w:t xml:space="preserve"> delegat</w:t>
      </w:r>
      <w:r w:rsidR="00D22045" w:rsidRPr="00461BE7">
        <w:rPr>
          <w:rFonts w:asciiTheme="minorHAnsi" w:eastAsia="Times New Roman" w:hAnsiTheme="minorHAnsi" w:cstheme="minorHAnsi"/>
          <w:sz w:val="22"/>
          <w:szCs w:val="22"/>
          <w:lang w:eastAsia="en-IE"/>
        </w:rPr>
        <w:t>ed</w:t>
      </w:r>
      <w:r w:rsidR="00B32F91" w:rsidRPr="00461BE7">
        <w:rPr>
          <w:rFonts w:asciiTheme="minorHAnsi" w:eastAsia="Times New Roman" w:hAnsiTheme="minorHAnsi" w:cstheme="minorHAnsi"/>
          <w:sz w:val="22"/>
          <w:szCs w:val="22"/>
          <w:lang w:eastAsia="en-IE"/>
        </w:rPr>
        <w:t xml:space="preserve"> to Sectoral Departmental/Divisional Management</w:t>
      </w:r>
      <w:r w:rsidRPr="00461BE7">
        <w:rPr>
          <w:rFonts w:asciiTheme="minorHAnsi" w:eastAsia="Times New Roman" w:hAnsiTheme="minorHAnsi" w:cstheme="minorHAnsi"/>
          <w:sz w:val="22"/>
          <w:szCs w:val="22"/>
          <w:lang w:eastAsia="en-IE"/>
        </w:rPr>
        <w:t>.</w:t>
      </w:r>
    </w:p>
    <w:p w14:paraId="00332CC2" w14:textId="77777777" w:rsidR="00B32F91" w:rsidRDefault="00B32F91" w:rsidP="00B67069">
      <w:pPr>
        <w:pStyle w:val="ListParagraph"/>
        <w:ind w:left="360"/>
        <w:textAlignment w:val="baseline"/>
        <w:rPr>
          <w:rFonts w:eastAsia="Times New Roman"/>
          <w:lang w:eastAsia="en-IE"/>
        </w:rPr>
      </w:pPr>
    </w:p>
    <w:p w14:paraId="4648C8EC" w14:textId="77777777" w:rsidR="00B32F91" w:rsidRPr="00DD0D3D" w:rsidRDefault="00B32F91" w:rsidP="00740AA6">
      <w:pPr>
        <w:pStyle w:val="Heading2"/>
        <w:rPr>
          <w:rFonts w:asciiTheme="majorHAnsi" w:eastAsia="Times New Roman" w:hAnsiTheme="majorHAnsi" w:cstheme="majorHAnsi"/>
          <w:color w:val="2F5496" w:themeColor="accent1" w:themeShade="BF"/>
          <w:lang w:val="en-IE" w:eastAsia="en-IE"/>
        </w:rPr>
      </w:pPr>
      <w:proofErr w:type="gramStart"/>
      <w:r w:rsidRPr="00DD0D3D">
        <w:rPr>
          <w:rFonts w:asciiTheme="majorHAnsi" w:eastAsia="Times New Roman" w:hAnsiTheme="majorHAnsi" w:cstheme="majorHAnsi"/>
          <w:color w:val="2F5496" w:themeColor="accent1" w:themeShade="BF"/>
          <w:lang w:val="en-IE" w:eastAsia="en-IE"/>
        </w:rPr>
        <w:t xml:space="preserve">2.2  </w:t>
      </w:r>
      <w:r w:rsidRPr="00DD0D3D">
        <w:rPr>
          <w:rFonts w:asciiTheme="majorHAnsi" w:hAnsiTheme="majorHAnsi" w:cstheme="majorHAnsi"/>
          <w:color w:val="2F5496" w:themeColor="accent1" w:themeShade="BF"/>
        </w:rPr>
        <w:t>EU</w:t>
      </w:r>
      <w:proofErr w:type="gramEnd"/>
      <w:r w:rsidRPr="00DD0D3D">
        <w:rPr>
          <w:rFonts w:asciiTheme="majorHAnsi" w:hAnsiTheme="majorHAnsi" w:cstheme="majorHAnsi"/>
          <w:color w:val="2F5496" w:themeColor="accent1" w:themeShade="BF"/>
        </w:rPr>
        <w:t xml:space="preserve"> Recovery and Resilience Facility – Environmental Compliance &amp; Do no Significant Harm </w:t>
      </w:r>
    </w:p>
    <w:p w14:paraId="7150D349" w14:textId="77777777" w:rsidR="00B32F91" w:rsidRPr="0033682F" w:rsidRDefault="00B32F91" w:rsidP="000E1665">
      <w:pPr>
        <w:rPr>
          <w:rFonts w:asciiTheme="minorHAnsi" w:eastAsia="Times New Roman" w:hAnsiTheme="minorHAnsi" w:cstheme="minorHAnsi"/>
          <w:sz w:val="22"/>
          <w:szCs w:val="22"/>
          <w:lang w:eastAsia="en-IE"/>
        </w:rPr>
      </w:pPr>
      <w:r w:rsidRPr="0033682F">
        <w:rPr>
          <w:rFonts w:asciiTheme="minorHAnsi" w:hAnsiTheme="minorHAnsi" w:cstheme="minorHAnsi"/>
          <w:sz w:val="22"/>
          <w:szCs w:val="22"/>
        </w:rPr>
        <w:t>Where projects are funded under the EU’s Recovery and Resilience Facility (Carbon Reduction Fund</w:t>
      </w:r>
      <w:r w:rsidRPr="0033682F">
        <w:rPr>
          <w:rStyle w:val="FootnoteReference"/>
          <w:rFonts w:asciiTheme="minorHAnsi" w:hAnsiTheme="minorHAnsi" w:cstheme="minorHAnsi"/>
          <w:sz w:val="22"/>
          <w:szCs w:val="22"/>
        </w:rPr>
        <w:footnoteReference w:id="2"/>
      </w:r>
      <w:r w:rsidRPr="0033682F">
        <w:rPr>
          <w:rFonts w:asciiTheme="minorHAnsi" w:hAnsiTheme="minorHAnsi" w:cstheme="minorHAnsi"/>
          <w:sz w:val="22"/>
          <w:szCs w:val="22"/>
        </w:rPr>
        <w:t>, Climate Enterprise Action Fund</w:t>
      </w:r>
      <w:r w:rsidRPr="0033682F">
        <w:rPr>
          <w:rStyle w:val="FootnoteReference"/>
          <w:rFonts w:asciiTheme="minorHAnsi" w:hAnsiTheme="minorHAnsi" w:cstheme="minorHAnsi"/>
          <w:sz w:val="22"/>
          <w:szCs w:val="22"/>
        </w:rPr>
        <w:footnoteReference w:id="3"/>
      </w:r>
      <w:r w:rsidRPr="0033682F">
        <w:rPr>
          <w:rFonts w:asciiTheme="minorHAnsi" w:hAnsiTheme="minorHAnsi" w:cstheme="minorHAnsi"/>
          <w:sz w:val="22"/>
          <w:szCs w:val="22"/>
        </w:rPr>
        <w:t xml:space="preserve">, or Digital Transition Fund), they must comply with the relevant EU and national environmental legislation and </w:t>
      </w:r>
      <w:proofErr w:type="gramStart"/>
      <w:r w:rsidRPr="0033682F">
        <w:rPr>
          <w:rFonts w:asciiTheme="minorHAnsi" w:hAnsiTheme="minorHAnsi" w:cstheme="minorHAnsi"/>
          <w:sz w:val="22"/>
          <w:szCs w:val="22"/>
        </w:rPr>
        <w:t>in particular with</w:t>
      </w:r>
      <w:proofErr w:type="gramEnd"/>
      <w:r w:rsidRPr="0033682F">
        <w:rPr>
          <w:rFonts w:asciiTheme="minorHAnsi" w:hAnsiTheme="minorHAnsi" w:cstheme="minorHAnsi"/>
          <w:sz w:val="22"/>
          <w:szCs w:val="22"/>
        </w:rPr>
        <w:t xml:space="preserve"> the ‘Do no significant harm’ Technical Guidance (2021/C58/01). </w:t>
      </w:r>
    </w:p>
    <w:p w14:paraId="44C67FAB" w14:textId="77777777" w:rsidR="00B32F91" w:rsidRPr="0033682F" w:rsidRDefault="00B32F91" w:rsidP="00695703">
      <w:pPr>
        <w:jc w:val="both"/>
        <w:textAlignment w:val="baseline"/>
        <w:rPr>
          <w:rFonts w:asciiTheme="minorHAnsi" w:eastAsia="Times New Roman" w:hAnsiTheme="minorHAnsi" w:cstheme="minorHAnsi"/>
          <w:sz w:val="22"/>
          <w:szCs w:val="22"/>
          <w:lang w:val="en-IE" w:eastAsia="en-IE"/>
        </w:rPr>
      </w:pPr>
      <w:r w:rsidRPr="0033682F">
        <w:rPr>
          <w:rFonts w:asciiTheme="minorHAnsi" w:eastAsia="Times New Roman" w:hAnsiTheme="minorHAnsi" w:cstheme="minorHAnsi"/>
          <w:sz w:val="22"/>
          <w:szCs w:val="22"/>
          <w:lang w:eastAsia="en-IE"/>
        </w:rPr>
        <w:t>Specifically, the following projects are not eligible: </w:t>
      </w:r>
      <w:r w:rsidRPr="0033682F">
        <w:rPr>
          <w:rFonts w:asciiTheme="minorHAnsi" w:eastAsia="Times New Roman" w:hAnsiTheme="minorHAnsi" w:cstheme="minorHAnsi"/>
          <w:sz w:val="22"/>
          <w:szCs w:val="22"/>
          <w:lang w:val="en-IE" w:eastAsia="en-IE"/>
        </w:rPr>
        <w:t> </w:t>
      </w:r>
    </w:p>
    <w:p w14:paraId="0E1CAF8C" w14:textId="77777777" w:rsidR="00B32F91" w:rsidRPr="0033682F" w:rsidRDefault="00B32F91" w:rsidP="00B32F91">
      <w:pPr>
        <w:numPr>
          <w:ilvl w:val="0"/>
          <w:numId w:val="26"/>
        </w:numPr>
        <w:spacing w:line="259" w:lineRule="auto"/>
        <w:ind w:left="1080"/>
        <w:textAlignment w:val="baseline"/>
        <w:rPr>
          <w:rFonts w:asciiTheme="minorHAnsi" w:eastAsia="Times New Roman" w:hAnsiTheme="minorHAnsi" w:cstheme="minorHAnsi"/>
          <w:sz w:val="22"/>
          <w:szCs w:val="22"/>
          <w:lang w:val="en-IE" w:eastAsia="en-IE"/>
        </w:rPr>
      </w:pPr>
      <w:r w:rsidRPr="0033682F">
        <w:rPr>
          <w:rFonts w:asciiTheme="minorHAnsi" w:eastAsia="Times New Roman" w:hAnsiTheme="minorHAnsi" w:cstheme="minorHAnsi"/>
          <w:sz w:val="22"/>
          <w:szCs w:val="22"/>
          <w:lang w:val="en-IE" w:eastAsia="en-IE"/>
        </w:rPr>
        <w:lastRenderedPageBreak/>
        <w:t>activities related to fossil fuels, including downstream use</w:t>
      </w:r>
      <w:r w:rsidRPr="0033682F">
        <w:rPr>
          <w:rStyle w:val="FootnoteReference"/>
          <w:rFonts w:asciiTheme="minorHAnsi" w:eastAsia="Times New Roman" w:hAnsiTheme="minorHAnsi" w:cstheme="minorHAnsi"/>
          <w:sz w:val="22"/>
          <w:szCs w:val="22"/>
          <w:lang w:val="en-IE" w:eastAsia="en-IE"/>
        </w:rPr>
        <w:footnoteReference w:id="4"/>
      </w:r>
    </w:p>
    <w:p w14:paraId="7D873AF6" w14:textId="197C80AD" w:rsidR="00B32F91" w:rsidRPr="0033682F" w:rsidRDefault="00B32F91" w:rsidP="00B32F91">
      <w:pPr>
        <w:numPr>
          <w:ilvl w:val="0"/>
          <w:numId w:val="26"/>
        </w:numPr>
        <w:spacing w:line="259" w:lineRule="auto"/>
        <w:ind w:left="1080"/>
        <w:textAlignment w:val="baseline"/>
        <w:rPr>
          <w:rFonts w:asciiTheme="minorHAnsi" w:eastAsia="Times New Roman" w:hAnsiTheme="minorHAnsi" w:cstheme="minorHAnsi"/>
          <w:sz w:val="22"/>
          <w:szCs w:val="22"/>
          <w:lang w:val="en-IE" w:eastAsia="en-IE"/>
        </w:rPr>
      </w:pPr>
      <w:r w:rsidRPr="0033682F">
        <w:rPr>
          <w:rFonts w:asciiTheme="minorHAnsi" w:eastAsia="Times New Roman" w:hAnsiTheme="minorHAnsi" w:cstheme="minorHAnsi"/>
          <w:sz w:val="22"/>
          <w:szCs w:val="22"/>
          <w:lang w:val="en-IE" w:eastAsia="en-IE"/>
        </w:rPr>
        <w:t>activities under the EU Emission Trading System (ETS) achieving projected greenhouse gas emissions that are not lower than the relevant benchmarks</w:t>
      </w:r>
      <w:r w:rsidRPr="0033682F">
        <w:rPr>
          <w:rStyle w:val="FootnoteReference"/>
          <w:rFonts w:asciiTheme="minorHAnsi" w:eastAsia="Times New Roman" w:hAnsiTheme="minorHAnsi" w:cstheme="minorHAnsi"/>
          <w:sz w:val="22"/>
          <w:szCs w:val="22"/>
          <w:lang w:val="en-IE" w:eastAsia="en-IE"/>
        </w:rPr>
        <w:footnoteReference w:id="5"/>
      </w:r>
      <w:r w:rsidR="0033682F" w:rsidRPr="0033682F">
        <w:rPr>
          <w:rFonts w:asciiTheme="minorHAnsi" w:eastAsia="Times New Roman" w:hAnsiTheme="minorHAnsi" w:cstheme="minorHAnsi"/>
          <w:sz w:val="22"/>
          <w:szCs w:val="22"/>
          <w:lang w:val="en-IE" w:eastAsia="en-IE"/>
        </w:rPr>
        <w:t>,</w:t>
      </w:r>
    </w:p>
    <w:p w14:paraId="47EDFCE8" w14:textId="77777777" w:rsidR="00B32F91" w:rsidRPr="0033682F" w:rsidRDefault="00B32F91" w:rsidP="00B32F91">
      <w:pPr>
        <w:numPr>
          <w:ilvl w:val="0"/>
          <w:numId w:val="26"/>
        </w:numPr>
        <w:spacing w:line="259" w:lineRule="auto"/>
        <w:ind w:left="1080"/>
        <w:textAlignment w:val="baseline"/>
        <w:rPr>
          <w:rFonts w:asciiTheme="minorHAnsi" w:eastAsia="Times New Roman" w:hAnsiTheme="minorHAnsi" w:cstheme="minorHAnsi"/>
          <w:sz w:val="22"/>
          <w:szCs w:val="22"/>
          <w:lang w:val="en-IE" w:eastAsia="en-IE"/>
        </w:rPr>
      </w:pPr>
      <w:r w:rsidRPr="0033682F">
        <w:rPr>
          <w:rFonts w:asciiTheme="minorHAnsi" w:eastAsia="Times New Roman" w:hAnsiTheme="minorHAnsi" w:cstheme="minorHAnsi"/>
          <w:sz w:val="22"/>
          <w:szCs w:val="22"/>
          <w:lang w:val="en-IE" w:eastAsia="en-IE"/>
        </w:rPr>
        <w:t>activities related to waste landfills, incinerators</w:t>
      </w:r>
      <w:r w:rsidRPr="0033682F">
        <w:rPr>
          <w:rStyle w:val="FootnoteReference"/>
          <w:rFonts w:asciiTheme="minorHAnsi" w:eastAsia="Times New Roman" w:hAnsiTheme="minorHAnsi" w:cstheme="minorHAnsi"/>
          <w:sz w:val="22"/>
          <w:szCs w:val="22"/>
          <w:lang w:val="en-IE" w:eastAsia="en-IE"/>
        </w:rPr>
        <w:footnoteReference w:id="6"/>
      </w:r>
      <w:r w:rsidRPr="0033682F">
        <w:rPr>
          <w:rFonts w:asciiTheme="minorHAnsi" w:eastAsia="Times New Roman" w:hAnsiTheme="minorHAnsi" w:cstheme="minorHAnsi"/>
          <w:sz w:val="22"/>
          <w:szCs w:val="22"/>
          <w:lang w:val="en-IE" w:eastAsia="en-IE"/>
        </w:rPr>
        <w:t xml:space="preserve"> and mechanical biological treatment plants</w:t>
      </w:r>
      <w:r w:rsidRPr="0033682F">
        <w:rPr>
          <w:rStyle w:val="FootnoteReference"/>
          <w:rFonts w:asciiTheme="minorHAnsi" w:eastAsia="Times New Roman" w:hAnsiTheme="minorHAnsi" w:cstheme="minorHAnsi"/>
          <w:sz w:val="22"/>
          <w:szCs w:val="22"/>
          <w:lang w:val="en-IE" w:eastAsia="en-IE"/>
        </w:rPr>
        <w:footnoteReference w:id="7"/>
      </w:r>
      <w:r w:rsidRPr="0033682F">
        <w:rPr>
          <w:rFonts w:asciiTheme="minorHAnsi" w:eastAsia="Times New Roman" w:hAnsiTheme="minorHAnsi" w:cstheme="minorHAnsi"/>
          <w:sz w:val="22"/>
          <w:szCs w:val="22"/>
          <w:lang w:val="en-IE" w:eastAsia="en-IE"/>
        </w:rPr>
        <w:t xml:space="preserve"> and  </w:t>
      </w:r>
    </w:p>
    <w:p w14:paraId="100C2EC5" w14:textId="586138F9" w:rsidR="00B32F91" w:rsidRPr="0033682F" w:rsidRDefault="00B32F91" w:rsidP="00B32F91">
      <w:pPr>
        <w:numPr>
          <w:ilvl w:val="0"/>
          <w:numId w:val="27"/>
        </w:numPr>
        <w:spacing w:line="259" w:lineRule="auto"/>
        <w:ind w:left="1080"/>
        <w:textAlignment w:val="baseline"/>
        <w:rPr>
          <w:rFonts w:asciiTheme="minorHAnsi" w:eastAsia="Times New Roman" w:hAnsiTheme="minorHAnsi" w:cstheme="minorHAnsi"/>
          <w:sz w:val="22"/>
          <w:szCs w:val="22"/>
          <w:lang w:val="en-IE" w:eastAsia="en-IE"/>
        </w:rPr>
      </w:pPr>
      <w:r w:rsidRPr="0033682F">
        <w:rPr>
          <w:rFonts w:asciiTheme="minorHAnsi" w:eastAsia="Times New Roman" w:hAnsiTheme="minorHAnsi" w:cstheme="minorHAnsi"/>
          <w:sz w:val="22"/>
          <w:szCs w:val="22"/>
          <w:lang w:val="en-IE" w:eastAsia="en-IE"/>
        </w:rPr>
        <w:t>activities where the long-term disposal of waste may cause harm to the environment</w:t>
      </w:r>
      <w:r w:rsidR="0033682F" w:rsidRPr="0033682F">
        <w:rPr>
          <w:rFonts w:asciiTheme="minorHAnsi" w:eastAsia="Times New Roman" w:hAnsiTheme="minorHAnsi" w:cstheme="minorHAnsi"/>
          <w:sz w:val="22"/>
          <w:szCs w:val="22"/>
          <w:lang w:val="en-IE" w:eastAsia="en-IE"/>
        </w:rPr>
        <w:t>.</w:t>
      </w:r>
      <w:r w:rsidRPr="0033682F">
        <w:rPr>
          <w:rFonts w:asciiTheme="minorHAnsi" w:eastAsia="Times New Roman" w:hAnsiTheme="minorHAnsi" w:cstheme="minorHAnsi"/>
          <w:sz w:val="22"/>
          <w:szCs w:val="22"/>
          <w:lang w:val="en-IE" w:eastAsia="en-IE"/>
        </w:rPr>
        <w:t> </w:t>
      </w:r>
    </w:p>
    <w:p w14:paraId="3E6AF0EA" w14:textId="77777777" w:rsidR="00B32F91" w:rsidRPr="00B10E35" w:rsidRDefault="00B32F91" w:rsidP="00057E4F">
      <w:pPr>
        <w:textAlignment w:val="baseline"/>
        <w:rPr>
          <w:rFonts w:ascii="Segoe UI" w:eastAsia="Times New Roman" w:hAnsi="Segoe UI" w:cs="Segoe UI"/>
          <w:sz w:val="18"/>
          <w:szCs w:val="18"/>
          <w:lang w:val="en-IE" w:eastAsia="en-IE"/>
        </w:rPr>
      </w:pPr>
    </w:p>
    <w:p w14:paraId="27A92770" w14:textId="77777777" w:rsidR="00B32F91" w:rsidRPr="00DD0D3D" w:rsidRDefault="00B32F91" w:rsidP="00444A4B">
      <w:pPr>
        <w:pStyle w:val="Heading2"/>
        <w:rPr>
          <w:rFonts w:asciiTheme="majorHAnsi" w:eastAsia="Times New Roman" w:hAnsiTheme="majorHAnsi" w:cstheme="majorHAnsi"/>
          <w:color w:val="2F5496" w:themeColor="accent1" w:themeShade="BF"/>
          <w:lang w:val="en-IE" w:eastAsia="en-IE"/>
        </w:rPr>
      </w:pPr>
      <w:r w:rsidRPr="00DD0D3D">
        <w:rPr>
          <w:rFonts w:asciiTheme="majorHAnsi" w:eastAsia="Times New Roman" w:hAnsiTheme="majorHAnsi" w:cstheme="majorHAnsi"/>
          <w:color w:val="2F5496" w:themeColor="accent1" w:themeShade="BF"/>
          <w:lang w:val="en-IE" w:eastAsia="en-IE"/>
        </w:rPr>
        <w:t>3. Application Process</w:t>
      </w:r>
    </w:p>
    <w:p w14:paraId="1F5AB2C8" w14:textId="77777777" w:rsidR="00B32F91" w:rsidRPr="0033682F" w:rsidRDefault="00B32F91" w:rsidP="007B65C6">
      <w:pPr>
        <w:rPr>
          <w:rFonts w:asciiTheme="minorHAnsi" w:eastAsia="Times New Roman" w:hAnsiTheme="minorHAnsi" w:cstheme="minorHAnsi"/>
          <w:sz w:val="22"/>
          <w:szCs w:val="22"/>
          <w:lang w:eastAsia="en-IE"/>
        </w:rPr>
      </w:pPr>
      <w:r w:rsidRPr="0033682F">
        <w:rPr>
          <w:rFonts w:asciiTheme="minorHAnsi" w:eastAsia="Times New Roman" w:hAnsiTheme="minorHAnsi" w:cstheme="minorHAnsi"/>
          <w:sz w:val="22"/>
          <w:szCs w:val="22"/>
          <w:lang w:eastAsia="en-IE"/>
        </w:rPr>
        <w:t xml:space="preserve">Access Advice applications are managed/administered using the Online Application System. </w:t>
      </w:r>
    </w:p>
    <w:p w14:paraId="758953E2" w14:textId="77777777" w:rsidR="00B32F91" w:rsidRPr="0033682F" w:rsidRDefault="00B32F91" w:rsidP="007B65C6">
      <w:pPr>
        <w:rPr>
          <w:rFonts w:asciiTheme="minorHAnsi" w:hAnsiTheme="minorHAnsi" w:cstheme="minorHAnsi"/>
          <w:sz w:val="22"/>
          <w:szCs w:val="22"/>
        </w:rPr>
      </w:pPr>
      <w:r w:rsidRPr="0033682F">
        <w:rPr>
          <w:rFonts w:asciiTheme="minorHAnsi" w:hAnsiTheme="minorHAnsi" w:cstheme="minorHAnsi"/>
          <w:sz w:val="22"/>
          <w:szCs w:val="22"/>
        </w:rPr>
        <w:t xml:space="preserve">Applications </w:t>
      </w:r>
      <w:r w:rsidRPr="0033682F">
        <w:rPr>
          <w:rFonts w:asciiTheme="minorHAnsi" w:hAnsiTheme="minorHAnsi" w:cstheme="minorHAnsi"/>
          <w:b/>
          <w:i/>
          <w:sz w:val="22"/>
          <w:szCs w:val="22"/>
        </w:rPr>
        <w:t>should always</w:t>
      </w:r>
      <w:r w:rsidRPr="0033682F">
        <w:rPr>
          <w:rFonts w:asciiTheme="minorHAnsi" w:hAnsiTheme="minorHAnsi" w:cstheme="minorHAnsi"/>
          <w:sz w:val="22"/>
          <w:szCs w:val="22"/>
        </w:rPr>
        <w:t xml:space="preserve"> be discussed with the assigned Development Advisor/Regional Development Executive/relevant Agency Executive </w:t>
      </w:r>
      <w:r w:rsidRPr="0033682F">
        <w:rPr>
          <w:rFonts w:asciiTheme="minorHAnsi" w:hAnsiTheme="minorHAnsi" w:cstheme="minorHAnsi"/>
          <w:b/>
          <w:bCs/>
          <w:sz w:val="22"/>
          <w:szCs w:val="22"/>
        </w:rPr>
        <w:t>prior</w:t>
      </w:r>
      <w:r w:rsidRPr="0033682F">
        <w:rPr>
          <w:rFonts w:asciiTheme="minorHAnsi" w:hAnsiTheme="minorHAnsi" w:cstheme="minorHAnsi"/>
          <w:sz w:val="22"/>
          <w:szCs w:val="22"/>
        </w:rPr>
        <w:t xml:space="preserve"> to submission. </w:t>
      </w:r>
    </w:p>
    <w:p w14:paraId="3063EBE8" w14:textId="77777777" w:rsidR="00B32F91" w:rsidRPr="0033682F" w:rsidRDefault="00B32F91" w:rsidP="00057E4F">
      <w:pPr>
        <w:textAlignment w:val="baseline"/>
        <w:rPr>
          <w:rFonts w:asciiTheme="minorHAnsi" w:eastAsia="Times New Roman" w:hAnsiTheme="minorHAnsi" w:cstheme="minorHAnsi"/>
          <w:sz w:val="22"/>
          <w:szCs w:val="22"/>
          <w:lang w:val="en-IE" w:eastAsia="en-IE"/>
        </w:rPr>
      </w:pPr>
      <w:r w:rsidRPr="0033682F">
        <w:rPr>
          <w:rFonts w:asciiTheme="minorHAnsi" w:eastAsia="Times New Roman" w:hAnsiTheme="minorHAnsi" w:cstheme="minorHAnsi"/>
          <w:sz w:val="22"/>
          <w:szCs w:val="22"/>
          <w:lang w:eastAsia="en-IE"/>
        </w:rPr>
        <w:t>The Start date of the project is the date of receipt to a valid application in Grant Applications &amp; Contracts.  Any costs incurred by the company prior to this date will be deemed ineligible.</w:t>
      </w:r>
      <w:r w:rsidRPr="0033682F">
        <w:rPr>
          <w:rFonts w:asciiTheme="minorHAnsi" w:eastAsia="Times New Roman" w:hAnsiTheme="minorHAnsi" w:cstheme="minorHAnsi"/>
          <w:sz w:val="22"/>
          <w:szCs w:val="22"/>
          <w:lang w:val="en-IE" w:eastAsia="en-IE"/>
        </w:rPr>
        <w:t> </w:t>
      </w:r>
    </w:p>
    <w:p w14:paraId="045DDEDA" w14:textId="77777777" w:rsidR="00B32F91" w:rsidRPr="000B1D69" w:rsidRDefault="00B32F91" w:rsidP="00057E4F">
      <w:pPr>
        <w:textAlignment w:val="baseline"/>
        <w:rPr>
          <w:rFonts w:ascii="Calibri" w:eastAsia="Times New Roman" w:hAnsi="Calibri" w:cs="Calibri"/>
          <w:lang w:val="en-IE" w:eastAsia="en-IE"/>
        </w:rPr>
      </w:pPr>
    </w:p>
    <w:p w14:paraId="203B142F" w14:textId="77777777" w:rsidR="00B32F91" w:rsidRPr="00345D22" w:rsidRDefault="00B32F91" w:rsidP="00E97394">
      <w:pPr>
        <w:pStyle w:val="Heading3"/>
        <w:rPr>
          <w:rFonts w:asciiTheme="minorHAnsi" w:hAnsiTheme="minorHAnsi" w:cstheme="minorHAnsi"/>
          <w:sz w:val="22"/>
          <w:szCs w:val="22"/>
        </w:rPr>
      </w:pPr>
      <w:r w:rsidRPr="00345D22">
        <w:rPr>
          <w:rFonts w:asciiTheme="minorHAnsi" w:hAnsiTheme="minorHAnsi" w:cstheme="minorHAnsi"/>
          <w:sz w:val="22"/>
          <w:szCs w:val="22"/>
          <w:lang w:eastAsia="en-IE"/>
        </w:rPr>
        <w:t> </w:t>
      </w:r>
      <w:r w:rsidRPr="00345D22">
        <w:rPr>
          <w:rFonts w:asciiTheme="minorHAnsi" w:hAnsiTheme="minorHAnsi" w:cstheme="minorHAnsi"/>
          <w:sz w:val="22"/>
          <w:szCs w:val="22"/>
        </w:rPr>
        <w:t>Application Steps</w:t>
      </w:r>
    </w:p>
    <w:tbl>
      <w:tblPr>
        <w:tblW w:w="10177" w:type="dxa"/>
        <w:tblInd w:w="-939" w:type="dxa"/>
        <w:tblCellMar>
          <w:top w:w="22" w:type="dxa"/>
          <w:right w:w="103" w:type="dxa"/>
        </w:tblCellMar>
        <w:tblLook w:val="04A0" w:firstRow="1" w:lastRow="0" w:firstColumn="1" w:lastColumn="0" w:noHBand="0" w:noVBand="1"/>
      </w:tblPr>
      <w:tblGrid>
        <w:gridCol w:w="538"/>
        <w:gridCol w:w="9639"/>
      </w:tblGrid>
      <w:tr w:rsidR="00B32F91" w:rsidRPr="00345D22" w14:paraId="27738CEF" w14:textId="77777777" w:rsidTr="00444A4B">
        <w:trPr>
          <w:trHeight w:val="566"/>
        </w:trPr>
        <w:tc>
          <w:tcPr>
            <w:tcW w:w="538" w:type="dxa"/>
            <w:tcBorders>
              <w:top w:val="single" w:sz="4" w:space="0" w:color="000000"/>
              <w:left w:val="single" w:sz="4" w:space="0" w:color="000000"/>
              <w:bottom w:val="single" w:sz="4" w:space="0" w:color="000000"/>
              <w:right w:val="single" w:sz="4" w:space="0" w:color="000000"/>
            </w:tcBorders>
          </w:tcPr>
          <w:p w14:paraId="15821164" w14:textId="77777777" w:rsidR="00B32F91" w:rsidRPr="00345D22" w:rsidRDefault="00B32F91" w:rsidP="00ED60E4">
            <w:pPr>
              <w:jc w:val="center"/>
              <w:rPr>
                <w:rFonts w:asciiTheme="minorHAnsi" w:hAnsiTheme="minorHAnsi" w:cstheme="minorHAnsi"/>
                <w:sz w:val="22"/>
                <w:szCs w:val="22"/>
              </w:rPr>
            </w:pPr>
            <w:r w:rsidRPr="00345D22">
              <w:rPr>
                <w:rFonts w:asciiTheme="minorHAnsi" w:hAnsiTheme="minorHAnsi" w:cstheme="minorHAnsi"/>
                <w:sz w:val="22"/>
                <w:szCs w:val="22"/>
              </w:rPr>
              <w:t>1</w:t>
            </w:r>
          </w:p>
        </w:tc>
        <w:tc>
          <w:tcPr>
            <w:tcW w:w="9639" w:type="dxa"/>
            <w:tcBorders>
              <w:top w:val="single" w:sz="4" w:space="0" w:color="000000"/>
              <w:left w:val="single" w:sz="4" w:space="0" w:color="000000"/>
              <w:bottom w:val="single" w:sz="4" w:space="0" w:color="000000"/>
              <w:right w:val="single" w:sz="4" w:space="0" w:color="000000"/>
            </w:tcBorders>
          </w:tcPr>
          <w:p w14:paraId="39E1D34A" w14:textId="77777777" w:rsidR="00B32F91" w:rsidRPr="00345D22" w:rsidRDefault="00B32F91" w:rsidP="00ED60E4">
            <w:pPr>
              <w:rPr>
                <w:rFonts w:asciiTheme="minorHAnsi" w:hAnsiTheme="minorHAnsi" w:cstheme="minorHAnsi"/>
                <w:sz w:val="22"/>
                <w:szCs w:val="22"/>
              </w:rPr>
            </w:pPr>
            <w:r w:rsidRPr="00345D22">
              <w:rPr>
                <w:rFonts w:asciiTheme="minorHAnsi" w:hAnsiTheme="minorHAnsi" w:cstheme="minorHAnsi"/>
                <w:sz w:val="22"/>
                <w:szCs w:val="22"/>
              </w:rPr>
              <w:t xml:space="preserve">The relevant Executive/ Development Advisor (DA) discusses the case with the client company and if appropriate advises the client to complete an online application.  </w:t>
            </w:r>
          </w:p>
        </w:tc>
      </w:tr>
      <w:tr w:rsidR="00B32F91" w:rsidRPr="00345D22" w14:paraId="48859D04" w14:textId="77777777" w:rsidTr="00444A4B">
        <w:trPr>
          <w:trHeight w:val="291"/>
        </w:trPr>
        <w:tc>
          <w:tcPr>
            <w:tcW w:w="538" w:type="dxa"/>
            <w:tcBorders>
              <w:top w:val="single" w:sz="4" w:space="0" w:color="000000"/>
              <w:left w:val="single" w:sz="4" w:space="0" w:color="000000"/>
              <w:bottom w:val="single" w:sz="4" w:space="0" w:color="000000"/>
              <w:right w:val="single" w:sz="4" w:space="0" w:color="000000"/>
            </w:tcBorders>
          </w:tcPr>
          <w:p w14:paraId="16F27881" w14:textId="77777777" w:rsidR="00B32F91" w:rsidRPr="00345D22" w:rsidRDefault="00B32F91" w:rsidP="00ED60E4">
            <w:pPr>
              <w:jc w:val="center"/>
              <w:rPr>
                <w:rFonts w:asciiTheme="minorHAnsi" w:hAnsiTheme="minorHAnsi" w:cstheme="minorHAnsi"/>
                <w:sz w:val="22"/>
                <w:szCs w:val="22"/>
              </w:rPr>
            </w:pPr>
            <w:r w:rsidRPr="00345D22">
              <w:rPr>
                <w:rFonts w:asciiTheme="minorHAnsi" w:hAnsiTheme="minorHAnsi" w:cstheme="minorHAnsi"/>
                <w:sz w:val="22"/>
                <w:szCs w:val="22"/>
              </w:rPr>
              <w:t>2</w:t>
            </w:r>
          </w:p>
        </w:tc>
        <w:tc>
          <w:tcPr>
            <w:tcW w:w="9639" w:type="dxa"/>
            <w:tcBorders>
              <w:top w:val="single" w:sz="4" w:space="0" w:color="000000"/>
              <w:left w:val="single" w:sz="4" w:space="0" w:color="000000"/>
              <w:bottom w:val="single" w:sz="4" w:space="0" w:color="000000"/>
              <w:right w:val="single" w:sz="4" w:space="0" w:color="000000"/>
            </w:tcBorders>
          </w:tcPr>
          <w:p w14:paraId="6F05B1DF" w14:textId="77777777" w:rsidR="00B32F91" w:rsidRPr="00345D22" w:rsidRDefault="00B32F91" w:rsidP="00ED60E4">
            <w:pPr>
              <w:rPr>
                <w:rFonts w:asciiTheme="minorHAnsi" w:hAnsiTheme="minorHAnsi" w:cstheme="minorHAnsi"/>
                <w:sz w:val="22"/>
                <w:szCs w:val="22"/>
              </w:rPr>
            </w:pPr>
            <w:r w:rsidRPr="00345D22">
              <w:rPr>
                <w:rFonts w:asciiTheme="minorHAnsi" w:hAnsiTheme="minorHAnsi" w:cstheme="minorHAnsi"/>
                <w:sz w:val="22"/>
                <w:szCs w:val="22"/>
              </w:rPr>
              <w:t>The client company is responsible for selection of a Service Provider / consultant to carry out project.</w:t>
            </w:r>
          </w:p>
        </w:tc>
      </w:tr>
      <w:tr w:rsidR="00B32F91" w:rsidRPr="00345D22" w14:paraId="74D41311" w14:textId="77777777" w:rsidTr="00444A4B">
        <w:trPr>
          <w:trHeight w:val="291"/>
        </w:trPr>
        <w:tc>
          <w:tcPr>
            <w:tcW w:w="538" w:type="dxa"/>
            <w:tcBorders>
              <w:top w:val="single" w:sz="4" w:space="0" w:color="000000"/>
              <w:left w:val="single" w:sz="4" w:space="0" w:color="000000"/>
              <w:bottom w:val="single" w:sz="4" w:space="0" w:color="000000"/>
              <w:right w:val="single" w:sz="4" w:space="0" w:color="000000"/>
            </w:tcBorders>
          </w:tcPr>
          <w:p w14:paraId="48E57699" w14:textId="77777777" w:rsidR="00B32F91" w:rsidRPr="00345D22" w:rsidRDefault="00B32F91" w:rsidP="00ED60E4">
            <w:pPr>
              <w:jc w:val="center"/>
              <w:rPr>
                <w:rFonts w:asciiTheme="minorHAnsi" w:hAnsiTheme="minorHAnsi" w:cstheme="minorHAnsi"/>
                <w:sz w:val="22"/>
                <w:szCs w:val="22"/>
              </w:rPr>
            </w:pPr>
            <w:r w:rsidRPr="00345D22">
              <w:rPr>
                <w:rFonts w:asciiTheme="minorHAnsi" w:hAnsiTheme="minorHAnsi" w:cstheme="minorHAnsi"/>
                <w:sz w:val="22"/>
                <w:szCs w:val="22"/>
              </w:rPr>
              <w:t>3</w:t>
            </w:r>
          </w:p>
        </w:tc>
        <w:tc>
          <w:tcPr>
            <w:tcW w:w="9639" w:type="dxa"/>
            <w:tcBorders>
              <w:top w:val="single" w:sz="4" w:space="0" w:color="000000"/>
              <w:left w:val="single" w:sz="4" w:space="0" w:color="000000"/>
              <w:bottom w:val="single" w:sz="4" w:space="0" w:color="000000"/>
              <w:right w:val="single" w:sz="4" w:space="0" w:color="000000"/>
            </w:tcBorders>
          </w:tcPr>
          <w:p w14:paraId="2603A4C0" w14:textId="77777777" w:rsidR="00B32F91" w:rsidRPr="00345D22" w:rsidRDefault="00B32F91" w:rsidP="00ED60E4">
            <w:pPr>
              <w:rPr>
                <w:rFonts w:asciiTheme="minorHAnsi" w:hAnsiTheme="minorHAnsi" w:cstheme="minorHAnsi"/>
                <w:sz w:val="22"/>
                <w:szCs w:val="22"/>
              </w:rPr>
            </w:pPr>
            <w:r w:rsidRPr="00345D22">
              <w:rPr>
                <w:rFonts w:asciiTheme="minorHAnsi" w:hAnsiTheme="minorHAnsi" w:cstheme="minorHAnsi"/>
                <w:sz w:val="22"/>
                <w:szCs w:val="22"/>
              </w:rPr>
              <w:t xml:space="preserve">The client completes the application form online and submits. </w:t>
            </w:r>
          </w:p>
        </w:tc>
      </w:tr>
      <w:tr w:rsidR="00B32F91" w:rsidRPr="00345D22" w14:paraId="68B53D8C" w14:textId="77777777" w:rsidTr="00444A4B">
        <w:trPr>
          <w:trHeight w:val="566"/>
        </w:trPr>
        <w:tc>
          <w:tcPr>
            <w:tcW w:w="538" w:type="dxa"/>
            <w:tcBorders>
              <w:top w:val="single" w:sz="4" w:space="0" w:color="000000"/>
              <w:left w:val="single" w:sz="4" w:space="0" w:color="000000"/>
              <w:bottom w:val="single" w:sz="4" w:space="0" w:color="000000"/>
              <w:right w:val="single" w:sz="4" w:space="0" w:color="000000"/>
            </w:tcBorders>
          </w:tcPr>
          <w:p w14:paraId="06EC71A9" w14:textId="77777777" w:rsidR="00B32F91" w:rsidRPr="00345D22" w:rsidRDefault="00B32F91" w:rsidP="00ED60E4">
            <w:pPr>
              <w:jc w:val="center"/>
              <w:rPr>
                <w:rFonts w:asciiTheme="minorHAnsi" w:hAnsiTheme="minorHAnsi" w:cstheme="minorHAnsi"/>
                <w:sz w:val="22"/>
                <w:szCs w:val="22"/>
              </w:rPr>
            </w:pPr>
            <w:r w:rsidRPr="00345D22">
              <w:rPr>
                <w:rFonts w:asciiTheme="minorHAnsi" w:hAnsiTheme="minorHAnsi" w:cstheme="minorHAnsi"/>
                <w:sz w:val="22"/>
                <w:szCs w:val="22"/>
              </w:rPr>
              <w:t>4</w:t>
            </w:r>
          </w:p>
        </w:tc>
        <w:tc>
          <w:tcPr>
            <w:tcW w:w="9639" w:type="dxa"/>
            <w:tcBorders>
              <w:top w:val="single" w:sz="4" w:space="0" w:color="000000"/>
              <w:left w:val="single" w:sz="4" w:space="0" w:color="000000"/>
              <w:bottom w:val="single" w:sz="4" w:space="0" w:color="000000"/>
              <w:right w:val="single" w:sz="4" w:space="0" w:color="000000"/>
            </w:tcBorders>
          </w:tcPr>
          <w:p w14:paraId="37D104E3" w14:textId="77777777" w:rsidR="00B32F91" w:rsidRPr="00345D22" w:rsidRDefault="00B32F91" w:rsidP="00ED60E4">
            <w:pPr>
              <w:rPr>
                <w:rFonts w:asciiTheme="minorHAnsi" w:hAnsiTheme="minorHAnsi" w:cstheme="minorHAnsi"/>
                <w:sz w:val="22"/>
                <w:szCs w:val="22"/>
              </w:rPr>
            </w:pPr>
            <w:r w:rsidRPr="00345D22">
              <w:rPr>
                <w:rFonts w:asciiTheme="minorHAnsi" w:hAnsiTheme="minorHAnsi" w:cstheme="minorHAnsi"/>
                <w:sz w:val="22"/>
                <w:szCs w:val="22"/>
              </w:rPr>
              <w:t>The final approval is through the Line management system by the DA and Department Manager/Divisional Manger and Programme Leads (where relevant)</w:t>
            </w:r>
          </w:p>
        </w:tc>
      </w:tr>
      <w:tr w:rsidR="00B32F91" w:rsidRPr="00345D22" w14:paraId="76BBFEF4" w14:textId="77777777" w:rsidTr="00444A4B">
        <w:trPr>
          <w:trHeight w:val="566"/>
        </w:trPr>
        <w:tc>
          <w:tcPr>
            <w:tcW w:w="538" w:type="dxa"/>
            <w:tcBorders>
              <w:top w:val="single" w:sz="4" w:space="0" w:color="000000"/>
              <w:left w:val="single" w:sz="4" w:space="0" w:color="000000"/>
              <w:bottom w:val="single" w:sz="4" w:space="0" w:color="000000"/>
              <w:right w:val="single" w:sz="4" w:space="0" w:color="000000"/>
            </w:tcBorders>
          </w:tcPr>
          <w:p w14:paraId="0C070FD6" w14:textId="77777777" w:rsidR="00B32F91" w:rsidRPr="00345D22" w:rsidRDefault="00B32F91" w:rsidP="00ED60E4">
            <w:pPr>
              <w:jc w:val="center"/>
              <w:rPr>
                <w:rFonts w:asciiTheme="minorHAnsi" w:hAnsiTheme="minorHAnsi" w:cstheme="minorHAnsi"/>
                <w:sz w:val="22"/>
                <w:szCs w:val="22"/>
              </w:rPr>
            </w:pPr>
            <w:r w:rsidRPr="00345D22">
              <w:rPr>
                <w:rFonts w:asciiTheme="minorHAnsi" w:hAnsiTheme="minorHAnsi" w:cstheme="minorHAnsi"/>
                <w:sz w:val="22"/>
                <w:szCs w:val="22"/>
              </w:rPr>
              <w:t>5</w:t>
            </w:r>
          </w:p>
        </w:tc>
        <w:tc>
          <w:tcPr>
            <w:tcW w:w="9639" w:type="dxa"/>
            <w:tcBorders>
              <w:top w:val="single" w:sz="4" w:space="0" w:color="000000"/>
              <w:left w:val="single" w:sz="4" w:space="0" w:color="000000"/>
              <w:bottom w:val="single" w:sz="4" w:space="0" w:color="000000"/>
              <w:right w:val="single" w:sz="4" w:space="0" w:color="000000"/>
            </w:tcBorders>
          </w:tcPr>
          <w:p w14:paraId="05F72E68" w14:textId="77777777" w:rsidR="00B32F91" w:rsidRPr="00345D22" w:rsidRDefault="00B32F91" w:rsidP="00ED60E4">
            <w:pPr>
              <w:rPr>
                <w:rFonts w:asciiTheme="minorHAnsi" w:hAnsiTheme="minorHAnsi" w:cstheme="minorHAnsi"/>
                <w:sz w:val="22"/>
                <w:szCs w:val="22"/>
              </w:rPr>
            </w:pPr>
            <w:r w:rsidRPr="00345D22">
              <w:rPr>
                <w:rFonts w:asciiTheme="minorHAnsi" w:hAnsiTheme="minorHAnsi" w:cstheme="minorHAnsi"/>
                <w:sz w:val="22"/>
                <w:szCs w:val="22"/>
              </w:rPr>
              <w:t xml:space="preserve">On receipt of Approval, Grant Applications issue the Letter of Offer.  </w:t>
            </w:r>
          </w:p>
        </w:tc>
      </w:tr>
      <w:tr w:rsidR="00B32F91" w:rsidRPr="00345D22" w14:paraId="757F46D1" w14:textId="77777777" w:rsidTr="00444A4B">
        <w:trPr>
          <w:trHeight w:val="564"/>
        </w:trPr>
        <w:tc>
          <w:tcPr>
            <w:tcW w:w="538" w:type="dxa"/>
            <w:tcBorders>
              <w:top w:val="single" w:sz="4" w:space="0" w:color="000000"/>
              <w:left w:val="single" w:sz="4" w:space="0" w:color="000000"/>
              <w:bottom w:val="single" w:sz="4" w:space="0" w:color="000000"/>
              <w:right w:val="single" w:sz="4" w:space="0" w:color="000000"/>
            </w:tcBorders>
          </w:tcPr>
          <w:p w14:paraId="2530D92B" w14:textId="77777777" w:rsidR="00B32F91" w:rsidRPr="00345D22" w:rsidRDefault="00B32F91" w:rsidP="00ED60E4">
            <w:pPr>
              <w:jc w:val="center"/>
              <w:rPr>
                <w:rFonts w:asciiTheme="minorHAnsi" w:hAnsiTheme="minorHAnsi" w:cstheme="minorHAnsi"/>
                <w:sz w:val="22"/>
                <w:szCs w:val="22"/>
              </w:rPr>
            </w:pPr>
            <w:r w:rsidRPr="00345D22">
              <w:rPr>
                <w:rFonts w:asciiTheme="minorHAnsi" w:hAnsiTheme="minorHAnsi" w:cstheme="minorHAnsi"/>
                <w:sz w:val="22"/>
                <w:szCs w:val="22"/>
              </w:rPr>
              <w:t>6</w:t>
            </w:r>
          </w:p>
        </w:tc>
        <w:tc>
          <w:tcPr>
            <w:tcW w:w="9639" w:type="dxa"/>
            <w:tcBorders>
              <w:top w:val="single" w:sz="4" w:space="0" w:color="000000"/>
              <w:left w:val="single" w:sz="4" w:space="0" w:color="000000"/>
              <w:bottom w:val="single" w:sz="4" w:space="0" w:color="000000"/>
              <w:right w:val="single" w:sz="4" w:space="0" w:color="000000"/>
            </w:tcBorders>
          </w:tcPr>
          <w:p w14:paraId="5E080A48" w14:textId="77777777" w:rsidR="00B32F91" w:rsidRPr="00345D22" w:rsidRDefault="00B32F91" w:rsidP="00ED60E4">
            <w:pPr>
              <w:rPr>
                <w:rFonts w:asciiTheme="minorHAnsi" w:hAnsiTheme="minorHAnsi" w:cstheme="minorHAnsi"/>
                <w:sz w:val="22"/>
                <w:szCs w:val="22"/>
              </w:rPr>
            </w:pPr>
            <w:r w:rsidRPr="00345D22">
              <w:rPr>
                <w:rFonts w:asciiTheme="minorHAnsi" w:hAnsiTheme="minorHAnsi" w:cstheme="minorHAnsi"/>
                <w:sz w:val="22"/>
                <w:szCs w:val="22"/>
              </w:rPr>
              <w:t xml:space="preserve">On receipt and acceptance of letter of Offer, client engages service provider. </w:t>
            </w:r>
          </w:p>
        </w:tc>
      </w:tr>
    </w:tbl>
    <w:p w14:paraId="2ECCB7E3" w14:textId="77777777" w:rsidR="00B32F91" w:rsidRDefault="00B32F91" w:rsidP="006372C8">
      <w:pPr>
        <w:textAlignment w:val="baseline"/>
        <w:rPr>
          <w:rFonts w:ascii="Calibri" w:eastAsia="Times New Roman" w:hAnsi="Calibri" w:cs="Calibri"/>
          <w:lang w:val="en-IE" w:eastAsia="en-IE"/>
        </w:rPr>
      </w:pPr>
    </w:p>
    <w:bookmarkEnd w:id="0"/>
    <w:p w14:paraId="7EB751F5" w14:textId="77777777" w:rsidR="00B32F91" w:rsidRPr="00DD0D3D" w:rsidRDefault="00B32F91" w:rsidP="00444A4B">
      <w:pPr>
        <w:pStyle w:val="Heading2"/>
        <w:rPr>
          <w:rFonts w:asciiTheme="majorHAnsi" w:hAnsiTheme="majorHAnsi" w:cstheme="majorHAnsi"/>
          <w:color w:val="2F5496" w:themeColor="accent1" w:themeShade="BF"/>
          <w:lang w:val="en-IE" w:eastAsia="en-IE"/>
        </w:rPr>
      </w:pPr>
      <w:r w:rsidRPr="00DD0D3D">
        <w:rPr>
          <w:rFonts w:asciiTheme="majorHAnsi" w:hAnsiTheme="majorHAnsi" w:cstheme="majorHAnsi"/>
          <w:color w:val="2F5496" w:themeColor="accent1" w:themeShade="BF"/>
          <w:lang w:val="en-IE" w:eastAsia="en-IE"/>
        </w:rPr>
        <w:t xml:space="preserve">4. Assessment Criteria </w:t>
      </w:r>
    </w:p>
    <w:p w14:paraId="14310E25" w14:textId="77777777" w:rsidR="00444A4B" w:rsidRDefault="00444A4B" w:rsidP="00444A4B">
      <w:pPr>
        <w:pStyle w:val="Heading3"/>
        <w:jc w:val="left"/>
        <w:rPr>
          <w:rFonts w:ascii="Arial" w:hAnsi="Arial" w:cs="Arial"/>
          <w:sz w:val="22"/>
          <w:szCs w:val="22"/>
        </w:rPr>
      </w:pPr>
    </w:p>
    <w:p w14:paraId="59D023AE" w14:textId="410266DD" w:rsidR="00B32F91" w:rsidRPr="00B42C96" w:rsidRDefault="00B32F91" w:rsidP="4267B602">
      <w:pPr>
        <w:pStyle w:val="Heading3"/>
        <w:jc w:val="left"/>
        <w:rPr>
          <w:rFonts w:asciiTheme="minorHAnsi" w:hAnsiTheme="minorHAnsi" w:cstheme="minorBidi"/>
          <w:b w:val="0"/>
          <w:sz w:val="22"/>
          <w:szCs w:val="22"/>
        </w:rPr>
      </w:pPr>
      <w:r w:rsidRPr="00B42C96">
        <w:rPr>
          <w:rFonts w:asciiTheme="minorHAnsi" w:hAnsiTheme="minorHAnsi" w:cstheme="minorBidi"/>
          <w:b w:val="0"/>
          <w:sz w:val="22"/>
          <w:szCs w:val="22"/>
        </w:rPr>
        <w:t>Criteria for assessment of applications include:</w:t>
      </w:r>
    </w:p>
    <w:p w14:paraId="20F5B7D5" w14:textId="63036385" w:rsidR="00B32F91" w:rsidRPr="00B42C96" w:rsidRDefault="00B32F91" w:rsidP="4267B602">
      <w:pPr>
        <w:pStyle w:val="ListParagraph"/>
        <w:numPr>
          <w:ilvl w:val="0"/>
          <w:numId w:val="48"/>
        </w:numPr>
        <w:spacing w:after="120" w:line="259" w:lineRule="auto"/>
        <w:rPr>
          <w:rFonts w:asciiTheme="minorHAnsi" w:hAnsiTheme="minorHAnsi" w:cstheme="minorBidi"/>
          <w:sz w:val="22"/>
          <w:szCs w:val="22"/>
        </w:rPr>
      </w:pPr>
      <w:r w:rsidRPr="00B42C96">
        <w:rPr>
          <w:rFonts w:asciiTheme="minorHAnsi" w:hAnsiTheme="minorHAnsi" w:cstheme="minorBidi"/>
          <w:sz w:val="22"/>
          <w:szCs w:val="22"/>
        </w:rPr>
        <w:t xml:space="preserve">Value for money for the State </w:t>
      </w:r>
      <w:proofErr w:type="gramStart"/>
      <w:r w:rsidRPr="00B42C96">
        <w:rPr>
          <w:rFonts w:asciiTheme="minorHAnsi" w:hAnsiTheme="minorHAnsi" w:cstheme="minorBidi"/>
          <w:sz w:val="22"/>
          <w:szCs w:val="22"/>
        </w:rPr>
        <w:t>taking into account</w:t>
      </w:r>
      <w:proofErr w:type="gramEnd"/>
      <w:r w:rsidRPr="00B42C96">
        <w:rPr>
          <w:rFonts w:asciiTheme="minorHAnsi" w:hAnsiTheme="minorHAnsi" w:cstheme="minorBidi"/>
          <w:sz w:val="22"/>
          <w:szCs w:val="22"/>
        </w:rPr>
        <w:t xml:space="preserve"> the performance against targets set in previous investments</w:t>
      </w:r>
      <w:r w:rsidR="004427F4" w:rsidRPr="00B42C96">
        <w:rPr>
          <w:rFonts w:asciiTheme="minorHAnsi" w:hAnsiTheme="minorHAnsi" w:cstheme="minorBidi"/>
          <w:sz w:val="22"/>
          <w:szCs w:val="22"/>
        </w:rPr>
        <w:t>.</w:t>
      </w:r>
    </w:p>
    <w:p w14:paraId="0D9A3642" w14:textId="140DC71A" w:rsidR="00B32F91" w:rsidRPr="00B42C96" w:rsidRDefault="00B32F91" w:rsidP="4267B602">
      <w:pPr>
        <w:pStyle w:val="ListParagraph"/>
        <w:numPr>
          <w:ilvl w:val="0"/>
          <w:numId w:val="48"/>
        </w:numPr>
        <w:spacing w:after="120" w:line="259" w:lineRule="auto"/>
        <w:rPr>
          <w:rFonts w:asciiTheme="minorHAnsi" w:hAnsiTheme="minorHAnsi" w:cstheme="minorBidi"/>
          <w:sz w:val="22"/>
          <w:szCs w:val="22"/>
        </w:rPr>
      </w:pPr>
      <w:r w:rsidRPr="00B42C96">
        <w:rPr>
          <w:rFonts w:asciiTheme="minorHAnsi" w:hAnsiTheme="minorHAnsi" w:cstheme="minorBidi"/>
          <w:sz w:val="22"/>
          <w:szCs w:val="22"/>
        </w:rPr>
        <w:t>The overall amount of State funding received by the company in the last seven years</w:t>
      </w:r>
      <w:r w:rsidR="004427F4" w:rsidRPr="00B42C96">
        <w:rPr>
          <w:rFonts w:asciiTheme="minorHAnsi" w:hAnsiTheme="minorHAnsi" w:cstheme="minorBidi"/>
          <w:sz w:val="22"/>
          <w:szCs w:val="22"/>
        </w:rPr>
        <w:t>.</w:t>
      </w:r>
    </w:p>
    <w:p w14:paraId="70202737" w14:textId="6F9BE57E" w:rsidR="00B32F91" w:rsidRPr="00B42C96" w:rsidRDefault="00B32F91" w:rsidP="4267B602">
      <w:pPr>
        <w:pStyle w:val="ListParagraph"/>
        <w:numPr>
          <w:ilvl w:val="0"/>
          <w:numId w:val="48"/>
        </w:numPr>
        <w:spacing w:after="120" w:line="259" w:lineRule="auto"/>
        <w:rPr>
          <w:rFonts w:asciiTheme="minorHAnsi" w:hAnsiTheme="minorHAnsi" w:cstheme="minorBidi"/>
          <w:sz w:val="22"/>
          <w:szCs w:val="22"/>
        </w:rPr>
      </w:pPr>
      <w:r w:rsidRPr="00B42C96">
        <w:rPr>
          <w:rFonts w:asciiTheme="minorHAnsi" w:hAnsiTheme="minorHAnsi" w:cstheme="minorBidi"/>
          <w:sz w:val="22"/>
          <w:szCs w:val="22"/>
        </w:rPr>
        <w:t>How the plan is an integral part of the strategic development plan of the company</w:t>
      </w:r>
      <w:r w:rsidR="004427F4" w:rsidRPr="00B42C96">
        <w:rPr>
          <w:rFonts w:asciiTheme="minorHAnsi" w:hAnsiTheme="minorHAnsi" w:cstheme="minorBidi"/>
          <w:sz w:val="22"/>
          <w:szCs w:val="22"/>
        </w:rPr>
        <w:t>.</w:t>
      </w:r>
    </w:p>
    <w:p w14:paraId="1C8D4D63" w14:textId="4AC003B1" w:rsidR="00B32F91" w:rsidRPr="00B42C96" w:rsidRDefault="00B32F91" w:rsidP="4267B602">
      <w:pPr>
        <w:pStyle w:val="ListParagraph"/>
        <w:numPr>
          <w:ilvl w:val="0"/>
          <w:numId w:val="48"/>
        </w:numPr>
        <w:spacing w:after="120" w:line="259" w:lineRule="auto"/>
        <w:rPr>
          <w:rFonts w:asciiTheme="minorHAnsi" w:hAnsiTheme="minorHAnsi" w:cstheme="minorBidi"/>
          <w:sz w:val="22"/>
          <w:szCs w:val="22"/>
        </w:rPr>
      </w:pPr>
      <w:r w:rsidRPr="00B42C96">
        <w:rPr>
          <w:rFonts w:asciiTheme="minorHAnsi" w:hAnsiTheme="minorHAnsi" w:cstheme="minorBidi"/>
          <w:sz w:val="22"/>
          <w:szCs w:val="22"/>
        </w:rPr>
        <w:t>The financial track record of the company</w:t>
      </w:r>
      <w:r w:rsidR="004427F4" w:rsidRPr="00B42C96">
        <w:rPr>
          <w:rFonts w:asciiTheme="minorHAnsi" w:hAnsiTheme="minorHAnsi" w:cstheme="minorBidi"/>
          <w:sz w:val="22"/>
          <w:szCs w:val="22"/>
        </w:rPr>
        <w:t>.</w:t>
      </w:r>
    </w:p>
    <w:p w14:paraId="73DE91B9" w14:textId="435A6CF3" w:rsidR="00B32F91" w:rsidRPr="00B42C96" w:rsidRDefault="00B32F91" w:rsidP="4267B602">
      <w:pPr>
        <w:pStyle w:val="ListParagraph"/>
        <w:numPr>
          <w:ilvl w:val="0"/>
          <w:numId w:val="48"/>
        </w:numPr>
        <w:spacing w:after="120" w:line="259" w:lineRule="auto"/>
        <w:rPr>
          <w:rFonts w:asciiTheme="minorHAnsi" w:hAnsiTheme="minorHAnsi" w:cstheme="minorBidi"/>
          <w:sz w:val="22"/>
          <w:szCs w:val="22"/>
        </w:rPr>
      </w:pPr>
      <w:r w:rsidRPr="00B42C96">
        <w:rPr>
          <w:rFonts w:asciiTheme="minorHAnsi" w:hAnsiTheme="minorHAnsi" w:cstheme="minorBidi"/>
          <w:sz w:val="22"/>
          <w:szCs w:val="22"/>
        </w:rPr>
        <w:t>The development needs of the company</w:t>
      </w:r>
      <w:r w:rsidR="004427F4" w:rsidRPr="00B42C96">
        <w:rPr>
          <w:rFonts w:asciiTheme="minorHAnsi" w:hAnsiTheme="minorHAnsi" w:cstheme="minorBidi"/>
          <w:sz w:val="22"/>
          <w:szCs w:val="22"/>
        </w:rPr>
        <w:t>.</w:t>
      </w:r>
    </w:p>
    <w:p w14:paraId="3C896057" w14:textId="7F128356" w:rsidR="00B32F91" w:rsidRPr="00B42C96" w:rsidRDefault="00B32F91" w:rsidP="4267B602">
      <w:pPr>
        <w:pStyle w:val="ListParagraph"/>
        <w:numPr>
          <w:ilvl w:val="0"/>
          <w:numId w:val="48"/>
        </w:numPr>
        <w:spacing w:after="120" w:line="259" w:lineRule="auto"/>
        <w:rPr>
          <w:rFonts w:asciiTheme="minorHAnsi" w:hAnsiTheme="minorHAnsi" w:cstheme="minorBidi"/>
          <w:sz w:val="22"/>
          <w:szCs w:val="22"/>
        </w:rPr>
      </w:pPr>
      <w:r w:rsidRPr="00B42C96">
        <w:rPr>
          <w:rFonts w:asciiTheme="minorHAnsi" w:hAnsiTheme="minorHAnsi" w:cstheme="minorBidi"/>
          <w:sz w:val="22"/>
          <w:szCs w:val="22"/>
        </w:rPr>
        <w:t>Previous track record in implementing any previously State funded projects</w:t>
      </w:r>
      <w:r w:rsidR="004427F4" w:rsidRPr="00B42C96">
        <w:rPr>
          <w:rFonts w:asciiTheme="minorHAnsi" w:hAnsiTheme="minorHAnsi" w:cstheme="minorBidi"/>
          <w:sz w:val="22"/>
          <w:szCs w:val="22"/>
        </w:rPr>
        <w:t>.</w:t>
      </w:r>
    </w:p>
    <w:p w14:paraId="7D41C670" w14:textId="5F2E6FAD" w:rsidR="00B32F91" w:rsidRPr="004427F4" w:rsidRDefault="004427F4" w:rsidP="00B42C96">
      <w:pPr>
        <w:pStyle w:val="ListParagraph"/>
        <w:spacing w:after="120"/>
        <w:ind w:left="360"/>
        <w:rPr>
          <w:rFonts w:asciiTheme="minorHAnsi" w:hAnsiTheme="minorHAnsi" w:cstheme="minorBidi"/>
          <w:sz w:val="22"/>
          <w:szCs w:val="22"/>
          <w:highlight w:val="yellow"/>
        </w:rPr>
      </w:pPr>
      <w:r w:rsidRPr="00B42C96">
        <w:rPr>
          <w:rFonts w:asciiTheme="minorHAnsi" w:hAnsiTheme="minorHAnsi" w:cstheme="minorBidi"/>
          <w:sz w:val="22"/>
          <w:szCs w:val="22"/>
        </w:rPr>
        <w:lastRenderedPageBreak/>
        <w:t>.</w:t>
      </w:r>
    </w:p>
    <w:p w14:paraId="2CDF1E1E" w14:textId="137F399C" w:rsidR="00B42C96" w:rsidRDefault="00B42C96" w:rsidP="00B32F91">
      <w:pPr>
        <w:pStyle w:val="ListParagraph"/>
        <w:numPr>
          <w:ilvl w:val="0"/>
          <w:numId w:val="48"/>
        </w:numPr>
        <w:spacing w:after="120" w:line="259" w:lineRule="auto"/>
        <w:rPr>
          <w:rFonts w:asciiTheme="minorHAnsi" w:hAnsiTheme="minorHAnsi" w:cstheme="minorHAnsi"/>
          <w:sz w:val="22"/>
          <w:szCs w:val="22"/>
        </w:rPr>
      </w:pPr>
      <w:r w:rsidRPr="00B42C96">
        <w:rPr>
          <w:rFonts w:asciiTheme="minorHAnsi" w:hAnsiTheme="minorHAnsi" w:cstheme="minorBidi"/>
          <w:sz w:val="22"/>
          <w:szCs w:val="22"/>
        </w:rPr>
        <w:t>The eligible costs being in line with the terms of the scheme</w:t>
      </w:r>
    </w:p>
    <w:p w14:paraId="5F66B8E9" w14:textId="3DD4EEEF" w:rsidR="00B32F91" w:rsidRPr="004427F4" w:rsidRDefault="00B32F91" w:rsidP="00B32F91">
      <w:pPr>
        <w:pStyle w:val="ListParagraph"/>
        <w:numPr>
          <w:ilvl w:val="0"/>
          <w:numId w:val="48"/>
        </w:numPr>
        <w:spacing w:after="120" w:line="259" w:lineRule="auto"/>
        <w:rPr>
          <w:rFonts w:asciiTheme="minorHAnsi" w:hAnsiTheme="minorHAnsi" w:cstheme="minorHAnsi"/>
          <w:sz w:val="22"/>
          <w:szCs w:val="22"/>
        </w:rPr>
      </w:pPr>
      <w:r w:rsidRPr="004427F4">
        <w:rPr>
          <w:rFonts w:asciiTheme="minorHAnsi" w:hAnsiTheme="minorHAnsi" w:cstheme="minorHAnsi"/>
          <w:sz w:val="22"/>
          <w:szCs w:val="22"/>
        </w:rPr>
        <w:t>The suitability of the proposed Service Provider to undertake the project</w:t>
      </w:r>
      <w:r w:rsidR="004427F4">
        <w:rPr>
          <w:rFonts w:asciiTheme="minorHAnsi" w:hAnsiTheme="minorHAnsi" w:cstheme="minorHAnsi"/>
          <w:sz w:val="22"/>
          <w:szCs w:val="22"/>
        </w:rPr>
        <w:t>.</w:t>
      </w:r>
    </w:p>
    <w:p w14:paraId="02D0B729" w14:textId="77777777" w:rsidR="00B32F91" w:rsidRPr="00444A4B" w:rsidRDefault="00B32F91" w:rsidP="00444A4B">
      <w:pPr>
        <w:pStyle w:val="Heading2"/>
        <w:rPr>
          <w:lang w:val="en-IE" w:eastAsia="en-IE"/>
        </w:rPr>
      </w:pPr>
    </w:p>
    <w:p w14:paraId="1C0F64AE" w14:textId="77777777" w:rsidR="00B32F91" w:rsidRPr="00DD0D3D" w:rsidRDefault="00B32F91" w:rsidP="00444A4B">
      <w:pPr>
        <w:pStyle w:val="Heading2"/>
        <w:rPr>
          <w:rFonts w:asciiTheme="majorHAnsi" w:hAnsiTheme="majorHAnsi" w:cstheme="majorHAnsi"/>
          <w:color w:val="2F5496" w:themeColor="accent1" w:themeShade="BF"/>
          <w:lang w:val="en-IE" w:eastAsia="en-IE"/>
        </w:rPr>
      </w:pPr>
      <w:r w:rsidRPr="00DD0D3D">
        <w:rPr>
          <w:rFonts w:asciiTheme="majorHAnsi" w:hAnsiTheme="majorHAnsi" w:cstheme="majorHAnsi"/>
          <w:color w:val="2F5496" w:themeColor="accent1" w:themeShade="BF"/>
          <w:lang w:val="en-IE" w:eastAsia="en-IE"/>
        </w:rPr>
        <w:t>5. Claims Process &amp; Final Claim Dates </w:t>
      </w:r>
    </w:p>
    <w:p w14:paraId="15963751" w14:textId="77777777" w:rsidR="00B32F91" w:rsidRPr="0007238C" w:rsidRDefault="00B32F91" w:rsidP="00444A4B">
      <w:pPr>
        <w:numPr>
          <w:ilvl w:val="0"/>
          <w:numId w:val="49"/>
        </w:numPr>
        <w:spacing w:line="264" w:lineRule="auto"/>
        <w:textAlignment w:val="baseline"/>
        <w:rPr>
          <w:rFonts w:asciiTheme="minorHAnsi" w:eastAsia="Times New Roman" w:hAnsiTheme="minorHAnsi" w:cstheme="minorHAnsi"/>
          <w:sz w:val="22"/>
          <w:szCs w:val="22"/>
          <w:lang w:val="en-IE" w:eastAsia="en-IE"/>
        </w:rPr>
      </w:pPr>
      <w:r w:rsidRPr="0007238C">
        <w:rPr>
          <w:rFonts w:asciiTheme="minorHAnsi" w:eastAsia="Times New Roman" w:hAnsiTheme="minorHAnsi" w:cstheme="minorHAnsi"/>
          <w:sz w:val="22"/>
          <w:szCs w:val="22"/>
          <w:lang w:eastAsia="en-IE"/>
        </w:rPr>
        <w:t xml:space="preserve">Companies must return their acceptance of the letter of offer within 60 </w:t>
      </w:r>
      <w:proofErr w:type="gramStart"/>
      <w:r w:rsidRPr="0007238C">
        <w:rPr>
          <w:rFonts w:asciiTheme="minorHAnsi" w:eastAsia="Times New Roman" w:hAnsiTheme="minorHAnsi" w:cstheme="minorHAnsi"/>
          <w:sz w:val="22"/>
          <w:szCs w:val="22"/>
          <w:lang w:eastAsia="en-IE"/>
        </w:rPr>
        <w:t>days</w:t>
      </w:r>
      <w:proofErr w:type="gramEnd"/>
      <w:r w:rsidRPr="0007238C">
        <w:rPr>
          <w:rFonts w:asciiTheme="minorHAnsi" w:eastAsia="Times New Roman" w:hAnsiTheme="minorHAnsi" w:cstheme="minorHAnsi"/>
          <w:sz w:val="22"/>
          <w:szCs w:val="22"/>
          <w:lang w:eastAsia="en-IE"/>
        </w:rPr>
        <w:t xml:space="preserve"> or the offer will lapse.</w:t>
      </w:r>
    </w:p>
    <w:p w14:paraId="3ED4C936" w14:textId="77777777" w:rsidR="00B32F91" w:rsidRPr="0007238C" w:rsidRDefault="00B32F91" w:rsidP="00444A4B">
      <w:pPr>
        <w:numPr>
          <w:ilvl w:val="0"/>
          <w:numId w:val="49"/>
        </w:numPr>
        <w:spacing w:line="264" w:lineRule="auto"/>
        <w:textAlignment w:val="baseline"/>
        <w:rPr>
          <w:rFonts w:asciiTheme="minorHAnsi" w:eastAsia="Times New Roman" w:hAnsiTheme="minorHAnsi" w:cstheme="minorHAnsi"/>
          <w:sz w:val="22"/>
          <w:szCs w:val="22"/>
          <w:lang w:val="en-IE" w:eastAsia="en-IE"/>
        </w:rPr>
      </w:pPr>
      <w:r w:rsidRPr="0007238C">
        <w:rPr>
          <w:rFonts w:asciiTheme="minorHAnsi" w:eastAsia="Times New Roman" w:hAnsiTheme="minorHAnsi" w:cstheme="minorHAnsi"/>
          <w:sz w:val="22"/>
          <w:szCs w:val="22"/>
          <w:lang w:eastAsia="en-IE"/>
        </w:rPr>
        <w:t xml:space="preserve">A Company can make a maximum of one against any single approval for an Access Advice Grant.  </w:t>
      </w:r>
    </w:p>
    <w:p w14:paraId="0437EB98" w14:textId="77777777" w:rsidR="00B32F91" w:rsidRPr="0007238C" w:rsidRDefault="00B32F91" w:rsidP="00444A4B">
      <w:pPr>
        <w:numPr>
          <w:ilvl w:val="0"/>
          <w:numId w:val="49"/>
        </w:numPr>
        <w:spacing w:line="264" w:lineRule="auto"/>
        <w:textAlignment w:val="baseline"/>
        <w:rPr>
          <w:rFonts w:asciiTheme="minorHAnsi" w:eastAsia="Times New Roman" w:hAnsiTheme="minorHAnsi" w:cstheme="minorHAnsi"/>
          <w:sz w:val="22"/>
          <w:szCs w:val="22"/>
          <w:lang w:val="en-IE" w:eastAsia="en-IE"/>
        </w:rPr>
      </w:pPr>
      <w:r w:rsidRPr="0007238C">
        <w:rPr>
          <w:rFonts w:asciiTheme="minorHAnsi" w:eastAsia="Times New Roman" w:hAnsiTheme="minorHAnsi" w:cstheme="minorHAnsi"/>
          <w:sz w:val="22"/>
          <w:szCs w:val="22"/>
          <w:lang w:eastAsia="en-IE"/>
        </w:rPr>
        <w:t>A Final claim dates will be 12 months from date of approval.</w:t>
      </w:r>
    </w:p>
    <w:p w14:paraId="7055EAED" w14:textId="77777777" w:rsidR="00B32F91" w:rsidRDefault="00B32F91" w:rsidP="00057E4F">
      <w:pPr>
        <w:rPr>
          <w:color w:val="000000" w:themeColor="text1"/>
          <w:lang w:val="en-IE"/>
        </w:rPr>
      </w:pPr>
      <w:r>
        <w:rPr>
          <w:color w:val="000000" w:themeColor="text1"/>
          <w:lang w:val="en-IE"/>
        </w:rPr>
        <w:br w:type="page"/>
      </w:r>
    </w:p>
    <w:p w14:paraId="2B227598" w14:textId="77777777" w:rsidR="00B32F91" w:rsidRPr="00A86227" w:rsidRDefault="00B32F91" w:rsidP="00A86227">
      <w:pPr>
        <w:pStyle w:val="Heading2"/>
        <w:rPr>
          <w:lang w:val="en-IE" w:eastAsia="en-IE"/>
        </w:rPr>
      </w:pPr>
      <w:bookmarkStart w:id="1" w:name="_Appendix_1:_"/>
      <w:bookmarkEnd w:id="1"/>
    </w:p>
    <w:p w14:paraId="6406067B" w14:textId="77777777" w:rsidR="00B32F91" w:rsidRPr="0007238C" w:rsidRDefault="00B32F91" w:rsidP="00A86227">
      <w:pPr>
        <w:pStyle w:val="Heading2"/>
        <w:rPr>
          <w:rFonts w:asciiTheme="majorHAnsi" w:hAnsiTheme="majorHAnsi" w:cstheme="majorHAnsi"/>
          <w:lang w:val="en-IE" w:eastAsia="en-IE"/>
        </w:rPr>
      </w:pPr>
      <w:bookmarkStart w:id="2" w:name="_Appendix_1:__1"/>
      <w:bookmarkEnd w:id="2"/>
      <w:r w:rsidRPr="00DD0D3D">
        <w:rPr>
          <w:rFonts w:asciiTheme="majorHAnsi" w:hAnsiTheme="majorHAnsi" w:cstheme="majorHAnsi"/>
          <w:color w:val="2F5496" w:themeColor="accent1" w:themeShade="BF"/>
          <w:lang w:val="en-IE" w:eastAsia="en-IE"/>
        </w:rPr>
        <w:t>Appendix 1:  Lean Start</w:t>
      </w:r>
      <w:bookmarkStart w:id="3" w:name="_Hlk513045045"/>
    </w:p>
    <w:p w14:paraId="56339AB6" w14:textId="77777777" w:rsidR="00B32F91" w:rsidRPr="00DD0D3D" w:rsidRDefault="00B32F91" w:rsidP="00E45925">
      <w:pPr>
        <w:pStyle w:val="ListParagraph"/>
        <w:keepNext/>
        <w:keepLines/>
        <w:spacing w:before="40"/>
        <w:ind w:left="360"/>
        <w:outlineLvl w:val="1"/>
        <w:rPr>
          <w:rFonts w:asciiTheme="minorHAnsi" w:eastAsiaTheme="majorEastAsia" w:hAnsiTheme="minorHAnsi" w:cstheme="minorHAnsi"/>
          <w:sz w:val="22"/>
          <w:szCs w:val="22"/>
        </w:rPr>
      </w:pPr>
      <w:r w:rsidRPr="00DD0D3D">
        <w:rPr>
          <w:rFonts w:asciiTheme="minorHAnsi" w:eastAsiaTheme="majorEastAsia" w:hAnsiTheme="minorHAnsi" w:cstheme="minorHAnsi"/>
          <w:sz w:val="22"/>
          <w:szCs w:val="22"/>
        </w:rPr>
        <w:t>The Access Advice Lean Start project option is to support companies to adopt and embed Lean principles resulting in increased business agility, productivity and competitiveness.</w:t>
      </w:r>
    </w:p>
    <w:p w14:paraId="14C325E4" w14:textId="77777777" w:rsidR="00B32F91" w:rsidRPr="00B85AC8" w:rsidRDefault="00B32F91" w:rsidP="00E45925">
      <w:pPr>
        <w:pStyle w:val="ListParagraph"/>
        <w:keepNext/>
        <w:keepLines/>
        <w:spacing w:before="40"/>
        <w:ind w:left="360"/>
        <w:outlineLvl w:val="1"/>
        <w:rPr>
          <w:rFonts w:asciiTheme="majorHAnsi" w:eastAsiaTheme="majorEastAsia" w:hAnsiTheme="majorHAnsi" w:cstheme="majorHAnsi"/>
          <w:sz w:val="22"/>
          <w:szCs w:val="22"/>
        </w:rPr>
      </w:pPr>
    </w:p>
    <w:p w14:paraId="1D915347" w14:textId="77777777" w:rsidR="00B32F91" w:rsidRPr="00B85AC8" w:rsidRDefault="00B32F91" w:rsidP="00E45925">
      <w:pPr>
        <w:pStyle w:val="ListParagraph"/>
        <w:keepNext/>
        <w:keepLines/>
        <w:spacing w:before="40"/>
        <w:ind w:left="360"/>
        <w:outlineLvl w:val="1"/>
        <w:rPr>
          <w:rFonts w:asciiTheme="majorHAnsi" w:eastAsiaTheme="majorEastAsia" w:hAnsiTheme="majorHAnsi" w:cstheme="majorHAnsi"/>
          <w:color w:val="2F5496" w:themeColor="accent1" w:themeShade="BF"/>
          <w:sz w:val="26"/>
          <w:szCs w:val="26"/>
        </w:rPr>
      </w:pPr>
      <w:r w:rsidRPr="00B85AC8">
        <w:rPr>
          <w:rFonts w:asciiTheme="majorHAnsi" w:eastAsiaTheme="majorEastAsia" w:hAnsiTheme="majorHAnsi" w:cstheme="majorHAnsi"/>
          <w:color w:val="2F5496" w:themeColor="accent1" w:themeShade="BF"/>
          <w:sz w:val="26"/>
          <w:szCs w:val="26"/>
        </w:rPr>
        <w:t>Eligible Project/Activities</w:t>
      </w:r>
    </w:p>
    <w:p w14:paraId="6B348E27" w14:textId="77777777" w:rsidR="00B32F91" w:rsidRPr="00DD0D3D" w:rsidRDefault="00B32F91" w:rsidP="008A142F">
      <w:pPr>
        <w:ind w:left="360"/>
        <w:rPr>
          <w:rFonts w:asciiTheme="minorHAnsi" w:eastAsiaTheme="majorEastAsia" w:hAnsiTheme="minorHAnsi" w:cstheme="minorHAnsi"/>
          <w:sz w:val="22"/>
          <w:szCs w:val="22"/>
        </w:rPr>
      </w:pPr>
      <w:r w:rsidRPr="00DD0D3D">
        <w:rPr>
          <w:rFonts w:asciiTheme="minorHAnsi" w:eastAsiaTheme="majorEastAsia" w:hAnsiTheme="minorHAnsi" w:cstheme="minorHAnsi"/>
          <w:sz w:val="22"/>
          <w:szCs w:val="22"/>
        </w:rPr>
        <w:t xml:space="preserve">Eligible projects may include advisory services on: </w:t>
      </w:r>
    </w:p>
    <w:p w14:paraId="5A3E5352" w14:textId="0393D9F6" w:rsidR="00B32F91" w:rsidRPr="00DD0D3D" w:rsidRDefault="00B32F91" w:rsidP="00B32F91">
      <w:pPr>
        <w:pStyle w:val="ListParagraph"/>
        <w:numPr>
          <w:ilvl w:val="0"/>
          <w:numId w:val="39"/>
        </w:numPr>
        <w:spacing w:before="120" w:after="120" w:line="22" w:lineRule="atLeast"/>
        <w:rPr>
          <w:rFonts w:asciiTheme="minorHAnsi" w:hAnsiTheme="minorHAnsi" w:cstheme="minorHAnsi"/>
          <w:sz w:val="22"/>
          <w:szCs w:val="22"/>
        </w:rPr>
      </w:pPr>
      <w:r w:rsidRPr="00DD0D3D">
        <w:rPr>
          <w:rFonts w:asciiTheme="minorHAnsi" w:hAnsiTheme="minorHAnsi" w:cstheme="minorHAnsi"/>
          <w:sz w:val="22"/>
          <w:szCs w:val="22"/>
        </w:rPr>
        <w:t>Coaching in waste identification and structured problem-solving</w:t>
      </w:r>
      <w:r w:rsidR="00DD0D3D">
        <w:rPr>
          <w:rFonts w:asciiTheme="minorHAnsi" w:hAnsiTheme="minorHAnsi" w:cstheme="minorHAnsi"/>
          <w:sz w:val="22"/>
          <w:szCs w:val="22"/>
        </w:rPr>
        <w:t>.</w:t>
      </w:r>
    </w:p>
    <w:p w14:paraId="240F5306" w14:textId="5A1D7521" w:rsidR="00B32F91" w:rsidRPr="00DD0D3D" w:rsidRDefault="00B32F91" w:rsidP="00B32F91">
      <w:pPr>
        <w:pStyle w:val="ListParagraph"/>
        <w:numPr>
          <w:ilvl w:val="0"/>
          <w:numId w:val="39"/>
        </w:numPr>
        <w:spacing w:before="120" w:after="120" w:line="22" w:lineRule="atLeast"/>
        <w:rPr>
          <w:rFonts w:asciiTheme="minorHAnsi" w:hAnsiTheme="minorHAnsi" w:cstheme="minorHAnsi"/>
          <w:sz w:val="22"/>
          <w:szCs w:val="22"/>
        </w:rPr>
      </w:pPr>
      <w:r w:rsidRPr="00DD0D3D">
        <w:rPr>
          <w:rFonts w:asciiTheme="minorHAnsi" w:hAnsiTheme="minorHAnsi" w:cstheme="minorHAnsi"/>
          <w:sz w:val="22"/>
          <w:szCs w:val="22"/>
        </w:rPr>
        <w:t>Establishment of more effective workplace organisation systems (5S/3S, Kanban, Standard work)</w:t>
      </w:r>
      <w:r w:rsidR="00DD0D3D">
        <w:rPr>
          <w:rFonts w:asciiTheme="minorHAnsi" w:hAnsiTheme="minorHAnsi" w:cstheme="minorHAnsi"/>
          <w:sz w:val="22"/>
          <w:szCs w:val="22"/>
        </w:rPr>
        <w:t>.</w:t>
      </w:r>
    </w:p>
    <w:p w14:paraId="7AF0C5AC" w14:textId="372346C2" w:rsidR="00B32F91" w:rsidRPr="00DD0D3D" w:rsidRDefault="00B32F91" w:rsidP="00B32F91">
      <w:pPr>
        <w:pStyle w:val="ListParagraph"/>
        <w:numPr>
          <w:ilvl w:val="0"/>
          <w:numId w:val="39"/>
        </w:numPr>
        <w:spacing w:before="120" w:after="120" w:line="22" w:lineRule="atLeast"/>
        <w:rPr>
          <w:rFonts w:asciiTheme="minorHAnsi" w:hAnsiTheme="minorHAnsi" w:cstheme="minorHAnsi"/>
          <w:sz w:val="22"/>
          <w:szCs w:val="22"/>
        </w:rPr>
      </w:pPr>
      <w:r w:rsidRPr="00DD0D3D">
        <w:rPr>
          <w:rFonts w:asciiTheme="minorHAnsi" w:hAnsiTheme="minorHAnsi" w:cstheme="minorHAnsi"/>
          <w:sz w:val="22"/>
          <w:szCs w:val="22"/>
        </w:rPr>
        <w:t>Establishment of better communication &amp; collaboration systems (visual management, coaching leadership, Gemba walks)</w:t>
      </w:r>
      <w:r w:rsidR="00DD0D3D">
        <w:rPr>
          <w:rFonts w:asciiTheme="minorHAnsi" w:hAnsiTheme="minorHAnsi" w:cstheme="minorHAnsi"/>
          <w:sz w:val="22"/>
          <w:szCs w:val="22"/>
        </w:rPr>
        <w:t>.</w:t>
      </w:r>
    </w:p>
    <w:p w14:paraId="01DC560B" w14:textId="77777777" w:rsidR="00B32F91" w:rsidRDefault="00B32F91" w:rsidP="00E45925">
      <w:pPr>
        <w:pStyle w:val="ListParagraph"/>
        <w:keepNext/>
        <w:keepLines/>
        <w:spacing w:before="40"/>
        <w:ind w:left="360"/>
        <w:outlineLvl w:val="1"/>
        <w:rPr>
          <w:rFonts w:asciiTheme="majorHAnsi" w:eastAsiaTheme="majorEastAsia" w:hAnsiTheme="majorHAnsi" w:cstheme="majorBidi"/>
          <w:color w:val="2F5496" w:themeColor="accent1" w:themeShade="BF"/>
          <w:sz w:val="26"/>
          <w:szCs w:val="26"/>
        </w:rPr>
      </w:pPr>
    </w:p>
    <w:p w14:paraId="7CDD8F87" w14:textId="77777777" w:rsidR="00B32F91" w:rsidRPr="00B85AC8" w:rsidRDefault="00B32F91" w:rsidP="008A142F">
      <w:pPr>
        <w:pStyle w:val="ListParagraph"/>
        <w:keepNext/>
        <w:keepLines/>
        <w:spacing w:before="40"/>
        <w:ind w:left="360"/>
        <w:outlineLvl w:val="1"/>
        <w:rPr>
          <w:rFonts w:asciiTheme="majorHAnsi" w:eastAsiaTheme="majorEastAsia" w:hAnsiTheme="majorHAnsi" w:cstheme="majorHAnsi"/>
          <w:color w:val="2F5496" w:themeColor="accent1" w:themeShade="BF"/>
          <w:sz w:val="26"/>
          <w:szCs w:val="26"/>
        </w:rPr>
      </w:pPr>
      <w:r w:rsidRPr="00B85AC8">
        <w:rPr>
          <w:rFonts w:asciiTheme="majorHAnsi" w:eastAsiaTheme="majorEastAsia" w:hAnsiTheme="majorHAnsi" w:cstheme="majorHAnsi"/>
          <w:color w:val="2F5496" w:themeColor="accent1" w:themeShade="BF"/>
          <w:sz w:val="26"/>
          <w:szCs w:val="26"/>
        </w:rPr>
        <w:t>Ineligible Projects/Activities</w:t>
      </w:r>
    </w:p>
    <w:p w14:paraId="5AD81C57" w14:textId="77777777" w:rsidR="00B32F91" w:rsidRPr="00DD0D3D" w:rsidRDefault="00B32F91" w:rsidP="00B32F91">
      <w:pPr>
        <w:pStyle w:val="ListParagraph"/>
        <w:numPr>
          <w:ilvl w:val="0"/>
          <w:numId w:val="40"/>
        </w:numPr>
        <w:spacing w:after="120" w:line="259" w:lineRule="auto"/>
        <w:rPr>
          <w:rFonts w:asciiTheme="minorHAnsi" w:hAnsiTheme="minorHAnsi" w:cstheme="minorHAnsi"/>
          <w:sz w:val="22"/>
          <w:szCs w:val="22"/>
        </w:rPr>
      </w:pPr>
      <w:r w:rsidRPr="00DD0D3D">
        <w:rPr>
          <w:rFonts w:asciiTheme="minorHAnsi" w:hAnsiTheme="minorHAnsi" w:cstheme="minorHAnsi"/>
          <w:sz w:val="22"/>
          <w:szCs w:val="22"/>
        </w:rPr>
        <w:t>General management consultancy including business strategy, market research, product development, financial review and planning, sales &amp; marketing, HR planning, health &amp; safety training, IT or cyber-security process review, installation or configuration</w:t>
      </w:r>
    </w:p>
    <w:p w14:paraId="2FC40E8C" w14:textId="77777777" w:rsidR="00B32F91" w:rsidRPr="00DD0D3D" w:rsidRDefault="00B32F91" w:rsidP="00B32F91">
      <w:pPr>
        <w:pStyle w:val="ListParagraph"/>
        <w:numPr>
          <w:ilvl w:val="0"/>
          <w:numId w:val="40"/>
        </w:numPr>
        <w:spacing w:after="120" w:line="259" w:lineRule="auto"/>
        <w:rPr>
          <w:rFonts w:asciiTheme="minorHAnsi" w:hAnsiTheme="minorHAnsi" w:cstheme="minorHAnsi"/>
          <w:sz w:val="22"/>
          <w:szCs w:val="22"/>
        </w:rPr>
      </w:pPr>
      <w:r w:rsidRPr="00DD0D3D">
        <w:rPr>
          <w:rFonts w:asciiTheme="minorHAnsi" w:hAnsiTheme="minorHAnsi" w:cstheme="minorHAnsi"/>
          <w:sz w:val="22"/>
          <w:szCs w:val="22"/>
        </w:rPr>
        <w:t>Scoping or sourcing equipment purchases, or planning for other grant applications</w:t>
      </w:r>
    </w:p>
    <w:p w14:paraId="0F6EDBA4" w14:textId="77777777" w:rsidR="00B32F91" w:rsidRPr="00DD0D3D" w:rsidRDefault="00B32F91" w:rsidP="00B32F91">
      <w:pPr>
        <w:pStyle w:val="ListParagraph"/>
        <w:numPr>
          <w:ilvl w:val="0"/>
          <w:numId w:val="40"/>
        </w:numPr>
        <w:spacing w:after="120" w:line="259" w:lineRule="auto"/>
        <w:rPr>
          <w:rFonts w:asciiTheme="minorHAnsi" w:hAnsiTheme="minorHAnsi" w:cstheme="minorHAnsi"/>
          <w:sz w:val="22"/>
          <w:szCs w:val="22"/>
        </w:rPr>
      </w:pPr>
      <w:r w:rsidRPr="00DD0D3D">
        <w:rPr>
          <w:rFonts w:asciiTheme="minorHAnsi" w:hAnsiTheme="minorHAnsi" w:cstheme="minorHAnsi"/>
          <w:sz w:val="22"/>
          <w:szCs w:val="22"/>
        </w:rPr>
        <w:t>General business process or value stream mapping</w:t>
      </w:r>
    </w:p>
    <w:bookmarkEnd w:id="3"/>
    <w:p w14:paraId="2AECE0B2" w14:textId="77777777" w:rsidR="00B32F91" w:rsidRDefault="00B32F91" w:rsidP="00E835E9"/>
    <w:p w14:paraId="5C74D664" w14:textId="77777777" w:rsidR="00B32F91" w:rsidRDefault="00B32F91" w:rsidP="00E835E9"/>
    <w:p w14:paraId="0951B058" w14:textId="77777777" w:rsidR="00B32F91" w:rsidRDefault="00B32F91" w:rsidP="00E835E9"/>
    <w:p w14:paraId="1DE6D6AB" w14:textId="77777777" w:rsidR="00B32F91" w:rsidRDefault="00B32F91" w:rsidP="00E835E9"/>
    <w:p w14:paraId="3BC62887" w14:textId="77777777" w:rsidR="00B32F91" w:rsidRDefault="00B32F91" w:rsidP="00E835E9"/>
    <w:p w14:paraId="3C0D84AE" w14:textId="77777777" w:rsidR="00B32F91" w:rsidRDefault="00B32F91" w:rsidP="00E835E9"/>
    <w:p w14:paraId="6DA7E58B" w14:textId="77777777" w:rsidR="00B32F91" w:rsidRDefault="00B32F91" w:rsidP="00E835E9"/>
    <w:p w14:paraId="5D1DF9A2" w14:textId="77777777" w:rsidR="00B32F91" w:rsidRDefault="00B32F91" w:rsidP="00E835E9"/>
    <w:p w14:paraId="61FEAAAB" w14:textId="77777777" w:rsidR="00B32F91" w:rsidRDefault="00B32F91" w:rsidP="00E835E9"/>
    <w:p w14:paraId="01E654C4" w14:textId="77777777" w:rsidR="00B32F91" w:rsidRDefault="00B32F91" w:rsidP="00E835E9">
      <w:r>
        <w:br w:type="page"/>
      </w:r>
    </w:p>
    <w:p w14:paraId="74FDDCBC" w14:textId="77777777" w:rsidR="005E707C" w:rsidRDefault="005E707C" w:rsidP="005E707C">
      <w:pPr>
        <w:pStyle w:val="Heading2"/>
        <w:rPr>
          <w:lang w:val="en-IE" w:eastAsia="en-IE"/>
        </w:rPr>
      </w:pPr>
      <w:bookmarkStart w:id="4" w:name="_Appendix_2:_"/>
      <w:bookmarkEnd w:id="4"/>
    </w:p>
    <w:p w14:paraId="7C4E933B" w14:textId="3477DA48" w:rsidR="00B32F91" w:rsidRPr="00DD0D3D" w:rsidRDefault="00B32F91" w:rsidP="005E707C">
      <w:pPr>
        <w:pStyle w:val="Heading2"/>
        <w:rPr>
          <w:rFonts w:asciiTheme="majorHAnsi" w:hAnsiTheme="majorHAnsi" w:cstheme="majorHAnsi"/>
          <w:color w:val="2F5496" w:themeColor="accent1" w:themeShade="BF"/>
          <w:lang w:val="en-IE" w:eastAsia="en-IE"/>
        </w:rPr>
      </w:pPr>
      <w:r w:rsidRPr="00DD0D3D">
        <w:rPr>
          <w:rFonts w:asciiTheme="majorHAnsi" w:hAnsiTheme="majorHAnsi" w:cstheme="majorHAnsi"/>
          <w:color w:val="2F5496" w:themeColor="accent1" w:themeShade="BF"/>
          <w:lang w:val="en-IE" w:eastAsia="en-IE"/>
        </w:rPr>
        <w:t>Appendix 2:  Green Start</w:t>
      </w:r>
    </w:p>
    <w:p w14:paraId="6D7328D5" w14:textId="77777777" w:rsidR="00B32F91" w:rsidRPr="00B85AC8" w:rsidRDefault="00B32F91" w:rsidP="00603D09">
      <w:pPr>
        <w:spacing w:line="22" w:lineRule="atLeast"/>
        <w:rPr>
          <w:rFonts w:asciiTheme="minorHAnsi" w:hAnsiTheme="minorHAnsi" w:cstheme="minorHAnsi"/>
          <w:sz w:val="22"/>
          <w:szCs w:val="22"/>
        </w:rPr>
      </w:pPr>
      <w:r w:rsidRPr="00B85AC8">
        <w:rPr>
          <w:rFonts w:asciiTheme="minorHAnsi" w:hAnsiTheme="minorHAnsi" w:cstheme="minorHAnsi"/>
          <w:sz w:val="22"/>
          <w:szCs w:val="22"/>
        </w:rPr>
        <w:t>The Access Advice Green Start project option is intended for companies unfamiliar with or lacking sufficient capability in environmental improvement methodologies.</w:t>
      </w:r>
    </w:p>
    <w:p w14:paraId="75F26198" w14:textId="77777777" w:rsidR="00B32F91" w:rsidRPr="00B85AC8" w:rsidRDefault="00B32F91" w:rsidP="00603D09">
      <w:pPr>
        <w:spacing w:line="22" w:lineRule="atLeast"/>
        <w:rPr>
          <w:rFonts w:asciiTheme="majorHAnsi" w:hAnsiTheme="majorHAnsi" w:cstheme="majorHAnsi"/>
        </w:rPr>
      </w:pPr>
    </w:p>
    <w:p w14:paraId="6E970BE9" w14:textId="77777777" w:rsidR="00B32F91" w:rsidRPr="00B85AC8" w:rsidRDefault="00B32F91" w:rsidP="005E707C">
      <w:pPr>
        <w:pStyle w:val="ListParagraph"/>
        <w:keepNext/>
        <w:keepLines/>
        <w:spacing w:before="40"/>
        <w:ind w:left="360"/>
        <w:outlineLvl w:val="1"/>
        <w:rPr>
          <w:rFonts w:asciiTheme="majorHAnsi" w:eastAsiaTheme="majorEastAsia" w:hAnsiTheme="majorHAnsi" w:cstheme="majorHAnsi"/>
          <w:color w:val="2F5496" w:themeColor="accent1" w:themeShade="BF"/>
          <w:sz w:val="26"/>
          <w:szCs w:val="26"/>
        </w:rPr>
      </w:pPr>
      <w:r w:rsidRPr="00B85AC8">
        <w:rPr>
          <w:rFonts w:asciiTheme="majorHAnsi" w:eastAsiaTheme="majorEastAsia" w:hAnsiTheme="majorHAnsi" w:cstheme="majorHAnsi"/>
          <w:color w:val="2F5496" w:themeColor="accent1" w:themeShade="BF"/>
          <w:sz w:val="26"/>
          <w:szCs w:val="26"/>
        </w:rPr>
        <w:t>Eligible Projects/Activities</w:t>
      </w:r>
    </w:p>
    <w:p w14:paraId="33B0E80D" w14:textId="77777777" w:rsidR="00B32F91" w:rsidRPr="00B85AC8" w:rsidRDefault="00B32F91" w:rsidP="00603D09">
      <w:pPr>
        <w:rPr>
          <w:rFonts w:asciiTheme="minorHAnsi" w:hAnsiTheme="minorHAnsi" w:cstheme="minorHAnsi"/>
          <w:sz w:val="22"/>
          <w:szCs w:val="22"/>
        </w:rPr>
      </w:pPr>
      <w:r w:rsidRPr="00B85AC8">
        <w:rPr>
          <w:rFonts w:asciiTheme="minorHAnsi" w:hAnsiTheme="minorHAnsi" w:cstheme="minorHAnsi"/>
          <w:sz w:val="22"/>
          <w:szCs w:val="22"/>
        </w:rPr>
        <w:t>Eligible projects may include advisory services on:</w:t>
      </w:r>
    </w:p>
    <w:p w14:paraId="24C2FEAF" w14:textId="7CCC6E3D" w:rsidR="00B32F91" w:rsidRPr="00B85AC8" w:rsidRDefault="00B32F91" w:rsidP="00B32F91">
      <w:pPr>
        <w:numPr>
          <w:ilvl w:val="0"/>
          <w:numId w:val="41"/>
        </w:numPr>
        <w:spacing w:after="160" w:line="259" w:lineRule="auto"/>
        <w:contextualSpacing/>
        <w:rPr>
          <w:rFonts w:asciiTheme="minorHAnsi" w:hAnsiTheme="minorHAnsi" w:cstheme="minorHAnsi"/>
          <w:sz w:val="22"/>
          <w:szCs w:val="22"/>
        </w:rPr>
      </w:pPr>
      <w:r w:rsidRPr="00B85AC8">
        <w:rPr>
          <w:rFonts w:asciiTheme="minorHAnsi" w:hAnsiTheme="minorHAnsi" w:cstheme="minorHAnsi"/>
          <w:sz w:val="22"/>
          <w:szCs w:val="22"/>
        </w:rPr>
        <w:t>Basic environmental/water/energy management systems</w:t>
      </w:r>
      <w:r w:rsidR="00B85AC8">
        <w:rPr>
          <w:rFonts w:asciiTheme="minorHAnsi" w:hAnsiTheme="minorHAnsi" w:cstheme="minorHAnsi"/>
          <w:sz w:val="22"/>
          <w:szCs w:val="22"/>
        </w:rPr>
        <w:t>.</w:t>
      </w:r>
    </w:p>
    <w:p w14:paraId="67B14FBF" w14:textId="49AE0B74" w:rsidR="00B32F91" w:rsidRPr="00B85AC8" w:rsidRDefault="00B32F91" w:rsidP="00B32F91">
      <w:pPr>
        <w:numPr>
          <w:ilvl w:val="0"/>
          <w:numId w:val="41"/>
        </w:numPr>
        <w:spacing w:after="160" w:line="259" w:lineRule="auto"/>
        <w:contextualSpacing/>
        <w:rPr>
          <w:rFonts w:asciiTheme="minorHAnsi" w:hAnsiTheme="minorHAnsi" w:cstheme="minorHAnsi"/>
          <w:sz w:val="22"/>
          <w:szCs w:val="22"/>
        </w:rPr>
      </w:pPr>
      <w:r w:rsidRPr="00B85AC8">
        <w:rPr>
          <w:rFonts w:asciiTheme="minorHAnsi" w:hAnsiTheme="minorHAnsi" w:cstheme="minorHAnsi"/>
          <w:sz w:val="22"/>
          <w:szCs w:val="22"/>
        </w:rPr>
        <w:t>Developing a sustainability/decarbonisation strategy and action plan, aligned to Irish/global sustainability reporting initiatives, e.g., Bord Bia Origin Green, UN Sustainable Development Goals, Science Based Targets, SME Climate Hub, European Sustainability Reporting Standards (ESRS) and Voluntary SME ESRS</w:t>
      </w:r>
      <w:r w:rsidR="00B85AC8">
        <w:rPr>
          <w:rFonts w:asciiTheme="minorHAnsi" w:hAnsiTheme="minorHAnsi" w:cstheme="minorHAnsi"/>
          <w:sz w:val="22"/>
          <w:szCs w:val="22"/>
        </w:rPr>
        <w:t>.</w:t>
      </w:r>
    </w:p>
    <w:p w14:paraId="184D39DE" w14:textId="34FA2D32" w:rsidR="00B32F91" w:rsidRPr="00B85AC8" w:rsidRDefault="00B32F91" w:rsidP="00B32F91">
      <w:pPr>
        <w:numPr>
          <w:ilvl w:val="0"/>
          <w:numId w:val="41"/>
        </w:numPr>
        <w:spacing w:after="160" w:line="259" w:lineRule="auto"/>
        <w:contextualSpacing/>
        <w:rPr>
          <w:rFonts w:asciiTheme="minorHAnsi" w:hAnsiTheme="minorHAnsi" w:cstheme="minorHAnsi"/>
          <w:sz w:val="22"/>
          <w:szCs w:val="22"/>
        </w:rPr>
      </w:pPr>
      <w:r w:rsidRPr="00B85AC8">
        <w:rPr>
          <w:rFonts w:asciiTheme="minorHAnsi" w:hAnsiTheme="minorHAnsi" w:cstheme="minorHAnsi"/>
          <w:sz w:val="22"/>
          <w:szCs w:val="22"/>
        </w:rPr>
        <w:t>Stakeholder ESG/sustainability prioritisation assessment, development of KPIs, targets and timelines/roadmaps aligned with Irish and Global sustainability reporting initiatives</w:t>
      </w:r>
      <w:r w:rsidR="00B85AC8">
        <w:rPr>
          <w:rFonts w:asciiTheme="minorHAnsi" w:hAnsiTheme="minorHAnsi" w:cstheme="minorHAnsi"/>
          <w:sz w:val="22"/>
          <w:szCs w:val="22"/>
        </w:rPr>
        <w:t>.</w:t>
      </w:r>
    </w:p>
    <w:p w14:paraId="65B1A734" w14:textId="60A1F255" w:rsidR="00B32F91" w:rsidRPr="00B85AC8" w:rsidRDefault="00B32F91" w:rsidP="00B32F91">
      <w:pPr>
        <w:numPr>
          <w:ilvl w:val="0"/>
          <w:numId w:val="41"/>
        </w:numPr>
        <w:spacing w:after="160" w:line="259" w:lineRule="auto"/>
        <w:contextualSpacing/>
        <w:rPr>
          <w:rFonts w:asciiTheme="minorHAnsi" w:hAnsiTheme="minorHAnsi" w:cstheme="minorHAnsi"/>
          <w:sz w:val="22"/>
          <w:szCs w:val="22"/>
        </w:rPr>
      </w:pPr>
      <w:r w:rsidRPr="00B85AC8">
        <w:rPr>
          <w:rFonts w:asciiTheme="minorHAnsi" w:hAnsiTheme="minorHAnsi" w:cstheme="minorHAnsi"/>
          <w:sz w:val="22"/>
          <w:szCs w:val="22"/>
        </w:rPr>
        <w:t>Upskilling teams to be able to monitor, measure and report inhouse, aligned with Irish and Global sustainability reporting initiatives</w:t>
      </w:r>
      <w:r w:rsidR="00356372">
        <w:rPr>
          <w:rFonts w:asciiTheme="minorHAnsi" w:hAnsiTheme="minorHAnsi" w:cstheme="minorHAnsi"/>
          <w:sz w:val="22"/>
          <w:szCs w:val="22"/>
        </w:rPr>
        <w:t>.</w:t>
      </w:r>
    </w:p>
    <w:p w14:paraId="6B686083" w14:textId="3FDAA37C" w:rsidR="00B32F91" w:rsidRPr="00B85AC8" w:rsidRDefault="00B32F91" w:rsidP="00B32F91">
      <w:pPr>
        <w:numPr>
          <w:ilvl w:val="0"/>
          <w:numId w:val="41"/>
        </w:numPr>
        <w:spacing w:after="160" w:line="259" w:lineRule="auto"/>
        <w:contextualSpacing/>
        <w:rPr>
          <w:rFonts w:asciiTheme="minorHAnsi" w:hAnsiTheme="minorHAnsi" w:cstheme="minorHAnsi"/>
          <w:sz w:val="22"/>
          <w:szCs w:val="22"/>
        </w:rPr>
      </w:pPr>
      <w:r w:rsidRPr="00B85AC8">
        <w:rPr>
          <w:rFonts w:asciiTheme="minorHAnsi" w:hAnsiTheme="minorHAnsi" w:cstheme="minorHAnsi"/>
          <w:sz w:val="22"/>
          <w:szCs w:val="22"/>
        </w:rPr>
        <w:t>Climate Transition Strategic Planning</w:t>
      </w:r>
      <w:r w:rsidR="00356372">
        <w:rPr>
          <w:rFonts w:asciiTheme="minorHAnsi" w:hAnsiTheme="minorHAnsi" w:cstheme="minorHAnsi"/>
          <w:sz w:val="22"/>
          <w:szCs w:val="22"/>
        </w:rPr>
        <w:t>.</w:t>
      </w:r>
    </w:p>
    <w:p w14:paraId="1E4B6DA4" w14:textId="41BEA882" w:rsidR="00B32F91" w:rsidRPr="00B85AC8" w:rsidRDefault="00B32F91" w:rsidP="00B32F91">
      <w:pPr>
        <w:numPr>
          <w:ilvl w:val="0"/>
          <w:numId w:val="41"/>
        </w:numPr>
        <w:spacing w:after="160" w:line="259" w:lineRule="auto"/>
        <w:contextualSpacing/>
        <w:rPr>
          <w:rFonts w:asciiTheme="minorHAnsi" w:hAnsiTheme="minorHAnsi" w:cstheme="minorHAnsi"/>
          <w:sz w:val="22"/>
          <w:szCs w:val="22"/>
        </w:rPr>
      </w:pPr>
      <w:r w:rsidRPr="00B85AC8">
        <w:rPr>
          <w:rFonts w:asciiTheme="minorHAnsi" w:hAnsiTheme="minorHAnsi" w:cstheme="minorHAnsi"/>
          <w:sz w:val="22"/>
          <w:szCs w:val="22"/>
        </w:rPr>
        <w:t>Life cycle assessment and/or circular economy thinking, developing a metering plan, developing a biodiversity action plan, green procurement and tenders, sustainable packaging, sustainable logistics, plastic management, communications, benchmarking, employee and customer engagement</w:t>
      </w:r>
      <w:r w:rsidR="00356372">
        <w:rPr>
          <w:rFonts w:asciiTheme="minorHAnsi" w:hAnsiTheme="minorHAnsi" w:cstheme="minorHAnsi"/>
          <w:sz w:val="22"/>
          <w:szCs w:val="22"/>
        </w:rPr>
        <w:t>.</w:t>
      </w:r>
    </w:p>
    <w:p w14:paraId="4EB9DD5B" w14:textId="4A53629C" w:rsidR="00B32F91" w:rsidRPr="00B85AC8" w:rsidRDefault="00B32F91" w:rsidP="00B32F91">
      <w:pPr>
        <w:numPr>
          <w:ilvl w:val="0"/>
          <w:numId w:val="41"/>
        </w:numPr>
        <w:spacing w:after="160" w:line="259" w:lineRule="auto"/>
        <w:contextualSpacing/>
        <w:rPr>
          <w:rFonts w:asciiTheme="minorHAnsi" w:hAnsiTheme="minorHAnsi" w:cstheme="minorHAnsi"/>
          <w:sz w:val="22"/>
          <w:szCs w:val="22"/>
        </w:rPr>
      </w:pPr>
      <w:r w:rsidRPr="00B85AC8">
        <w:rPr>
          <w:rFonts w:asciiTheme="minorHAnsi" w:hAnsiTheme="minorHAnsi" w:cstheme="minorHAnsi"/>
          <w:sz w:val="22"/>
          <w:szCs w:val="22"/>
        </w:rPr>
        <w:t>Environmental tools &amp; techniques to support project goals</w:t>
      </w:r>
      <w:r w:rsidR="00356372">
        <w:rPr>
          <w:rFonts w:asciiTheme="minorHAnsi" w:hAnsiTheme="minorHAnsi" w:cstheme="minorHAnsi"/>
          <w:sz w:val="22"/>
          <w:szCs w:val="22"/>
        </w:rPr>
        <w:t>.</w:t>
      </w:r>
    </w:p>
    <w:p w14:paraId="4B6DCF6A" w14:textId="77777777" w:rsidR="00B32F91" w:rsidRPr="0052238A" w:rsidRDefault="00B32F91" w:rsidP="00603D09">
      <w:pPr>
        <w:contextualSpacing/>
        <w:rPr>
          <w:rFonts w:ascii="Calibri" w:hAnsi="Calibri" w:cs="Calibri"/>
        </w:rPr>
      </w:pPr>
    </w:p>
    <w:p w14:paraId="4EBAE9CD" w14:textId="77777777" w:rsidR="00B32F91" w:rsidRPr="00971CB9" w:rsidRDefault="00B32F91" w:rsidP="00603D09">
      <w:pPr>
        <w:contextualSpacing/>
        <w:rPr>
          <w:rFonts w:ascii="Calibri" w:hAnsi="Calibri" w:cs="Calibri"/>
        </w:rPr>
      </w:pPr>
    </w:p>
    <w:p w14:paraId="73A84492" w14:textId="77777777" w:rsidR="00B32F91" w:rsidRPr="00356372" w:rsidRDefault="00B32F91" w:rsidP="005E707C">
      <w:pPr>
        <w:pStyle w:val="ListParagraph"/>
        <w:keepNext/>
        <w:keepLines/>
        <w:spacing w:before="40"/>
        <w:ind w:left="360"/>
        <w:outlineLvl w:val="1"/>
        <w:rPr>
          <w:rFonts w:asciiTheme="majorHAnsi" w:eastAsiaTheme="majorEastAsia" w:hAnsiTheme="majorHAnsi" w:cstheme="majorHAnsi"/>
          <w:color w:val="2F5496" w:themeColor="accent1" w:themeShade="BF"/>
          <w:sz w:val="26"/>
          <w:szCs w:val="26"/>
        </w:rPr>
      </w:pPr>
      <w:r w:rsidRPr="00356372">
        <w:rPr>
          <w:rFonts w:asciiTheme="majorHAnsi" w:eastAsiaTheme="majorEastAsia" w:hAnsiTheme="majorHAnsi" w:cstheme="majorHAnsi"/>
          <w:color w:val="2F5496" w:themeColor="accent1" w:themeShade="BF"/>
          <w:sz w:val="26"/>
          <w:szCs w:val="26"/>
        </w:rPr>
        <w:t>Ineligible Projects/Activities</w:t>
      </w:r>
    </w:p>
    <w:p w14:paraId="195B92D9" w14:textId="77777777" w:rsidR="00B32F91" w:rsidRPr="00356372" w:rsidRDefault="00B32F91" w:rsidP="00B32F91">
      <w:pPr>
        <w:numPr>
          <w:ilvl w:val="0"/>
          <w:numId w:val="42"/>
        </w:numPr>
        <w:spacing w:after="160" w:line="259" w:lineRule="auto"/>
        <w:contextualSpacing/>
        <w:rPr>
          <w:rFonts w:asciiTheme="minorHAnsi" w:hAnsiTheme="minorHAnsi" w:cstheme="minorHAnsi"/>
          <w:sz w:val="22"/>
          <w:szCs w:val="22"/>
        </w:rPr>
      </w:pPr>
      <w:r w:rsidRPr="00356372">
        <w:rPr>
          <w:rFonts w:asciiTheme="minorHAnsi" w:hAnsiTheme="minorHAnsi" w:cstheme="minorHAnsi"/>
          <w:sz w:val="22"/>
          <w:szCs w:val="22"/>
        </w:rPr>
        <w:t>General Consultancy including market research, IT implementation, financial review and planning, HR consulting or Health and Safety training</w:t>
      </w:r>
    </w:p>
    <w:p w14:paraId="691D4168" w14:textId="77777777" w:rsidR="00B32F91" w:rsidRPr="00356372" w:rsidRDefault="00B32F91" w:rsidP="00B32F91">
      <w:pPr>
        <w:numPr>
          <w:ilvl w:val="0"/>
          <w:numId w:val="42"/>
        </w:numPr>
        <w:spacing w:after="160" w:line="259" w:lineRule="auto"/>
        <w:contextualSpacing/>
        <w:rPr>
          <w:rFonts w:asciiTheme="minorHAnsi" w:hAnsiTheme="minorHAnsi" w:cstheme="minorHAnsi"/>
          <w:sz w:val="22"/>
          <w:szCs w:val="22"/>
        </w:rPr>
      </w:pPr>
      <w:r w:rsidRPr="00356372">
        <w:rPr>
          <w:rFonts w:asciiTheme="minorHAnsi" w:hAnsiTheme="minorHAnsi" w:cstheme="minorHAnsi"/>
          <w:sz w:val="22"/>
          <w:szCs w:val="22"/>
        </w:rPr>
        <w:t>Consultancy for design, installation or commissioning</w:t>
      </w:r>
    </w:p>
    <w:p w14:paraId="226323ED" w14:textId="77777777" w:rsidR="00B32F91" w:rsidRPr="00356372" w:rsidRDefault="00B32F91" w:rsidP="00B32F91">
      <w:pPr>
        <w:numPr>
          <w:ilvl w:val="0"/>
          <w:numId w:val="42"/>
        </w:numPr>
        <w:spacing w:after="160" w:line="259" w:lineRule="auto"/>
        <w:contextualSpacing/>
        <w:rPr>
          <w:rFonts w:asciiTheme="minorHAnsi" w:hAnsiTheme="minorHAnsi" w:cstheme="minorHAnsi"/>
          <w:sz w:val="22"/>
          <w:szCs w:val="22"/>
        </w:rPr>
      </w:pPr>
      <w:r w:rsidRPr="00356372">
        <w:rPr>
          <w:rFonts w:asciiTheme="minorHAnsi" w:hAnsiTheme="minorHAnsi" w:cstheme="minorHAnsi"/>
          <w:sz w:val="22"/>
          <w:szCs w:val="22"/>
        </w:rPr>
        <w:t>Capital equipment, materials or travel and subsistence costs</w:t>
      </w:r>
    </w:p>
    <w:p w14:paraId="5065F936" w14:textId="77777777" w:rsidR="00B32F91" w:rsidRPr="00356372" w:rsidRDefault="00B32F91" w:rsidP="00B32F91">
      <w:pPr>
        <w:numPr>
          <w:ilvl w:val="0"/>
          <w:numId w:val="42"/>
        </w:numPr>
        <w:spacing w:after="160" w:line="259" w:lineRule="auto"/>
        <w:contextualSpacing/>
        <w:rPr>
          <w:rFonts w:asciiTheme="minorHAnsi" w:hAnsiTheme="minorHAnsi" w:cstheme="minorHAnsi"/>
          <w:sz w:val="22"/>
          <w:szCs w:val="22"/>
        </w:rPr>
      </w:pPr>
      <w:r w:rsidRPr="00356372">
        <w:rPr>
          <w:rFonts w:asciiTheme="minorHAnsi" w:hAnsiTheme="minorHAnsi" w:cstheme="minorHAnsi"/>
          <w:sz w:val="22"/>
          <w:szCs w:val="22"/>
        </w:rPr>
        <w:t>Energy audits mandated under the European Energy Efficiency Directive (SI 426 of 2014)</w:t>
      </w:r>
    </w:p>
    <w:p w14:paraId="73167CB5" w14:textId="77777777" w:rsidR="00B32F91" w:rsidRPr="00356372" w:rsidRDefault="00B32F91" w:rsidP="00B32F91">
      <w:pPr>
        <w:numPr>
          <w:ilvl w:val="0"/>
          <w:numId w:val="42"/>
        </w:numPr>
        <w:spacing w:after="160" w:line="259" w:lineRule="auto"/>
        <w:contextualSpacing/>
        <w:rPr>
          <w:rFonts w:asciiTheme="minorHAnsi" w:hAnsiTheme="minorHAnsi" w:cstheme="minorHAnsi"/>
          <w:sz w:val="22"/>
          <w:szCs w:val="22"/>
        </w:rPr>
      </w:pPr>
      <w:bookmarkStart w:id="5" w:name="_Hlk149742387"/>
      <w:r w:rsidRPr="00356372">
        <w:rPr>
          <w:rFonts w:asciiTheme="minorHAnsi" w:hAnsiTheme="minorHAnsi" w:cstheme="minorHAnsi"/>
          <w:sz w:val="22"/>
          <w:szCs w:val="22"/>
        </w:rPr>
        <w:t>Mandatory reports/sustainability statements and audits/external assurance required under the Corporate Sustainability Reporting Directive or other activities legally required</w:t>
      </w:r>
    </w:p>
    <w:p w14:paraId="40BB21C4" w14:textId="77777777" w:rsidR="00B32F91" w:rsidRPr="00356372" w:rsidRDefault="00B32F91" w:rsidP="00B32F91">
      <w:pPr>
        <w:numPr>
          <w:ilvl w:val="0"/>
          <w:numId w:val="42"/>
        </w:numPr>
        <w:spacing w:after="160" w:line="259" w:lineRule="auto"/>
        <w:contextualSpacing/>
        <w:rPr>
          <w:rFonts w:asciiTheme="minorHAnsi" w:hAnsiTheme="minorHAnsi" w:cstheme="minorHAnsi"/>
          <w:sz w:val="22"/>
          <w:szCs w:val="22"/>
        </w:rPr>
      </w:pPr>
      <w:r w:rsidRPr="00356372">
        <w:rPr>
          <w:rFonts w:asciiTheme="minorHAnsi" w:hAnsiTheme="minorHAnsi" w:cstheme="minorHAnsi"/>
          <w:sz w:val="22"/>
          <w:szCs w:val="22"/>
        </w:rPr>
        <w:t>Activities legally required e.g. Energy audits mandated under the European Energy Efficiency Directive are not eligible for aid</w:t>
      </w:r>
    </w:p>
    <w:bookmarkEnd w:id="5"/>
    <w:p w14:paraId="660B3956" w14:textId="77777777" w:rsidR="00B32F91" w:rsidRPr="005E707C" w:rsidRDefault="00B32F91" w:rsidP="00E835E9">
      <w:pPr>
        <w:rPr>
          <w:rFonts w:ascii="Arial" w:hAnsi="Arial" w:cs="Arial"/>
        </w:rPr>
      </w:pPr>
    </w:p>
    <w:p w14:paraId="57A38FFA" w14:textId="77777777" w:rsidR="00B32F91" w:rsidRDefault="00B32F91" w:rsidP="00E835E9"/>
    <w:p w14:paraId="38D74DB3" w14:textId="77777777" w:rsidR="00B32F91" w:rsidRDefault="00B32F91" w:rsidP="00E835E9"/>
    <w:p w14:paraId="36CCAABD" w14:textId="77777777" w:rsidR="00B32F91" w:rsidRDefault="00B32F91" w:rsidP="00E835E9"/>
    <w:p w14:paraId="64BEDEEA" w14:textId="77777777" w:rsidR="00B32F91" w:rsidRDefault="00B32F91" w:rsidP="00E835E9"/>
    <w:p w14:paraId="097A9113" w14:textId="77777777" w:rsidR="00B32F91" w:rsidRDefault="00B32F91" w:rsidP="00E835E9"/>
    <w:p w14:paraId="3E1C461E" w14:textId="77777777" w:rsidR="00B32F91" w:rsidRDefault="00B32F91" w:rsidP="00E835E9"/>
    <w:p w14:paraId="5DBAB9EC" w14:textId="77777777" w:rsidR="00B32F91" w:rsidRDefault="00B32F91" w:rsidP="00E835E9"/>
    <w:p w14:paraId="5F7B8872" w14:textId="77777777" w:rsidR="00B32F91" w:rsidRDefault="00B32F91">
      <w:r>
        <w:br w:type="page"/>
      </w:r>
    </w:p>
    <w:p w14:paraId="158CB90D" w14:textId="77777777" w:rsidR="005E707C" w:rsidRDefault="005E707C" w:rsidP="005E707C">
      <w:pPr>
        <w:pStyle w:val="Heading2"/>
        <w:rPr>
          <w:lang w:val="en-IE" w:eastAsia="en-IE"/>
        </w:rPr>
      </w:pPr>
      <w:bookmarkStart w:id="6" w:name="_Appendix_3:_"/>
      <w:bookmarkEnd w:id="6"/>
    </w:p>
    <w:p w14:paraId="212E64F8" w14:textId="1A06E505" w:rsidR="00B32F91" w:rsidRPr="00C8434B" w:rsidRDefault="00B32F91" w:rsidP="005E707C">
      <w:pPr>
        <w:pStyle w:val="Heading2"/>
        <w:rPr>
          <w:rFonts w:asciiTheme="majorHAnsi" w:hAnsiTheme="majorHAnsi" w:cstheme="majorHAnsi"/>
          <w:color w:val="2F5496" w:themeColor="accent1" w:themeShade="BF"/>
          <w:lang w:val="en-IE" w:eastAsia="en-IE"/>
        </w:rPr>
      </w:pPr>
      <w:r w:rsidRPr="00C8434B">
        <w:rPr>
          <w:rFonts w:asciiTheme="majorHAnsi" w:hAnsiTheme="majorHAnsi" w:cstheme="majorHAnsi"/>
          <w:color w:val="2F5496" w:themeColor="accent1" w:themeShade="BF"/>
          <w:lang w:val="en-IE" w:eastAsia="en-IE"/>
        </w:rPr>
        <w:t>Appendix 3:  IP Start</w:t>
      </w:r>
    </w:p>
    <w:p w14:paraId="0BE4329F" w14:textId="77777777" w:rsidR="00B32F91" w:rsidRPr="00C8434B" w:rsidRDefault="00B32F91" w:rsidP="00DA3937">
      <w:pPr>
        <w:jc w:val="both"/>
        <w:rPr>
          <w:rFonts w:asciiTheme="minorHAnsi" w:eastAsia="Times New Roman" w:hAnsiTheme="minorHAnsi" w:cstheme="minorHAnsi"/>
          <w:sz w:val="22"/>
          <w:szCs w:val="22"/>
        </w:rPr>
      </w:pPr>
      <w:r w:rsidRPr="00C8434B">
        <w:rPr>
          <w:rFonts w:asciiTheme="minorHAnsi" w:eastAsia="Times New Roman" w:hAnsiTheme="minorHAnsi" w:cstheme="minorHAnsi"/>
          <w:sz w:val="22"/>
          <w:szCs w:val="22"/>
        </w:rPr>
        <w:t>This offer supports R&amp;D active companies to obtain external expert IP advisory and support services.</w:t>
      </w:r>
    </w:p>
    <w:p w14:paraId="4C76BDE6" w14:textId="77777777" w:rsidR="00B32F91" w:rsidRPr="00DA3937" w:rsidRDefault="00B32F91" w:rsidP="00DA3937">
      <w:pPr>
        <w:jc w:val="both"/>
        <w:rPr>
          <w:rFonts w:eastAsia="Times New Roman" w:cstheme="minorHAnsi"/>
          <w:sz w:val="22"/>
          <w:szCs w:val="22"/>
        </w:rPr>
      </w:pPr>
    </w:p>
    <w:p w14:paraId="02600CFB" w14:textId="77777777" w:rsidR="00B32F91" w:rsidRPr="00C8434B" w:rsidRDefault="00B32F91" w:rsidP="00DA3937">
      <w:pPr>
        <w:pStyle w:val="ListParagraph"/>
        <w:keepNext/>
        <w:keepLines/>
        <w:spacing w:before="40"/>
        <w:ind w:left="360"/>
        <w:outlineLvl w:val="1"/>
        <w:rPr>
          <w:rFonts w:asciiTheme="majorHAnsi" w:eastAsiaTheme="majorEastAsia" w:hAnsiTheme="majorHAnsi" w:cstheme="majorHAnsi"/>
          <w:color w:val="2F5496" w:themeColor="accent1" w:themeShade="BF"/>
          <w:sz w:val="26"/>
          <w:szCs w:val="26"/>
        </w:rPr>
      </w:pPr>
      <w:r w:rsidRPr="00C8434B">
        <w:rPr>
          <w:rFonts w:asciiTheme="majorHAnsi" w:eastAsiaTheme="majorEastAsia" w:hAnsiTheme="majorHAnsi" w:cstheme="majorHAnsi"/>
          <w:color w:val="2F5496" w:themeColor="accent1" w:themeShade="BF"/>
          <w:sz w:val="26"/>
          <w:szCs w:val="26"/>
        </w:rPr>
        <w:t>Eligible Project/Activities</w:t>
      </w:r>
    </w:p>
    <w:p w14:paraId="39DEA64B" w14:textId="77777777" w:rsidR="00B32F91" w:rsidRPr="00C8434B" w:rsidRDefault="00B32F91" w:rsidP="006264A2">
      <w:pPr>
        <w:rPr>
          <w:rFonts w:asciiTheme="minorHAnsi" w:hAnsiTheme="minorHAnsi" w:cstheme="minorHAnsi"/>
          <w:sz w:val="22"/>
          <w:szCs w:val="22"/>
        </w:rPr>
      </w:pPr>
      <w:r w:rsidRPr="00C8434B">
        <w:rPr>
          <w:rFonts w:asciiTheme="minorHAnsi" w:hAnsiTheme="minorHAnsi" w:cstheme="minorHAnsi"/>
          <w:sz w:val="22"/>
          <w:szCs w:val="22"/>
        </w:rPr>
        <w:t xml:space="preserve">Eligible projects may include advisory services </w:t>
      </w:r>
      <w:proofErr w:type="gramStart"/>
      <w:r w:rsidRPr="00C8434B">
        <w:rPr>
          <w:rFonts w:asciiTheme="minorHAnsi" w:hAnsiTheme="minorHAnsi" w:cstheme="minorHAnsi"/>
          <w:sz w:val="22"/>
          <w:szCs w:val="22"/>
        </w:rPr>
        <w:t>on;</w:t>
      </w:r>
      <w:proofErr w:type="gramEnd"/>
      <w:r w:rsidRPr="00C8434B">
        <w:rPr>
          <w:rFonts w:asciiTheme="minorHAnsi" w:hAnsiTheme="minorHAnsi" w:cstheme="minorHAnsi"/>
          <w:sz w:val="22"/>
          <w:szCs w:val="22"/>
        </w:rPr>
        <w:t xml:space="preserve"> </w:t>
      </w:r>
    </w:p>
    <w:p w14:paraId="2D9E4C10" w14:textId="6BFF6A2C" w:rsidR="00B32F91" w:rsidRPr="00C8434B" w:rsidRDefault="00B32F91" w:rsidP="00B32F91">
      <w:pPr>
        <w:pStyle w:val="ListParagraph"/>
        <w:numPr>
          <w:ilvl w:val="0"/>
          <w:numId w:val="37"/>
        </w:numPr>
        <w:spacing w:after="120" w:line="264" w:lineRule="auto"/>
        <w:rPr>
          <w:rFonts w:asciiTheme="minorHAnsi" w:hAnsiTheme="minorHAnsi" w:cstheme="minorHAnsi"/>
          <w:sz w:val="22"/>
          <w:szCs w:val="22"/>
        </w:rPr>
      </w:pPr>
      <w:r w:rsidRPr="00C8434B">
        <w:rPr>
          <w:rFonts w:asciiTheme="minorHAnsi" w:hAnsiTheme="minorHAnsi" w:cstheme="minorHAnsi"/>
          <w:sz w:val="22"/>
          <w:szCs w:val="22"/>
        </w:rPr>
        <w:t>Address immediate IP issues related to R&amp;D activity e.g. prior-art research in support of an RD&amp;I Technical Feasibility study</w:t>
      </w:r>
      <w:r w:rsidR="00C8434B" w:rsidRPr="00C8434B">
        <w:rPr>
          <w:rFonts w:asciiTheme="minorHAnsi" w:hAnsiTheme="minorHAnsi" w:cstheme="minorHAnsi"/>
          <w:sz w:val="22"/>
          <w:szCs w:val="22"/>
        </w:rPr>
        <w:t>.</w:t>
      </w:r>
    </w:p>
    <w:p w14:paraId="2CD8D0DD" w14:textId="40990B6D" w:rsidR="00B32F91" w:rsidRPr="00C8434B" w:rsidRDefault="00B32F91" w:rsidP="00B32F91">
      <w:pPr>
        <w:pStyle w:val="ListParagraph"/>
        <w:numPr>
          <w:ilvl w:val="0"/>
          <w:numId w:val="37"/>
        </w:numPr>
        <w:spacing w:after="120" w:line="264" w:lineRule="auto"/>
        <w:rPr>
          <w:rStyle w:val="xnormaltextrun"/>
          <w:rFonts w:asciiTheme="minorHAnsi" w:hAnsiTheme="minorHAnsi" w:cstheme="minorHAnsi"/>
          <w:sz w:val="22"/>
          <w:szCs w:val="22"/>
        </w:rPr>
      </w:pPr>
      <w:r w:rsidRPr="00C8434B">
        <w:rPr>
          <w:rStyle w:val="xnormaltextrun"/>
          <w:rFonts w:asciiTheme="minorHAnsi" w:hAnsiTheme="minorHAnsi" w:cstheme="minorHAnsi"/>
          <w:sz w:val="22"/>
          <w:szCs w:val="22"/>
          <w:bdr w:val="none" w:sz="0" w:space="0" w:color="auto" w:frame="1"/>
          <w:shd w:val="clear" w:color="auto" w:fill="FFFFFF"/>
        </w:rPr>
        <w:t>Conduct an IP Audit</w:t>
      </w:r>
      <w:r w:rsidR="00C8434B" w:rsidRPr="00C8434B">
        <w:rPr>
          <w:rStyle w:val="xnormaltextrun"/>
          <w:rFonts w:asciiTheme="minorHAnsi" w:hAnsiTheme="minorHAnsi" w:cstheme="minorHAnsi"/>
          <w:sz w:val="22"/>
          <w:szCs w:val="22"/>
          <w:bdr w:val="none" w:sz="0" w:space="0" w:color="auto" w:frame="1"/>
          <w:shd w:val="clear" w:color="auto" w:fill="FFFFFF"/>
        </w:rPr>
        <w:t>.</w:t>
      </w:r>
    </w:p>
    <w:p w14:paraId="14D179F7" w14:textId="4A582EBC" w:rsidR="00B32F91" w:rsidRPr="00C8434B" w:rsidRDefault="00B32F91" w:rsidP="00B32F91">
      <w:pPr>
        <w:pStyle w:val="ListParagraph"/>
        <w:numPr>
          <w:ilvl w:val="0"/>
          <w:numId w:val="37"/>
        </w:numPr>
        <w:spacing w:after="120" w:line="264" w:lineRule="auto"/>
        <w:rPr>
          <w:rStyle w:val="xnormaltextrun"/>
          <w:rFonts w:asciiTheme="minorHAnsi" w:hAnsiTheme="minorHAnsi" w:cstheme="minorHAnsi"/>
          <w:sz w:val="22"/>
          <w:szCs w:val="22"/>
        </w:rPr>
      </w:pPr>
      <w:r w:rsidRPr="00C8434B">
        <w:rPr>
          <w:rStyle w:val="xnormaltextrun"/>
          <w:rFonts w:asciiTheme="minorHAnsi" w:hAnsiTheme="minorHAnsi" w:cstheme="minorHAnsi"/>
          <w:sz w:val="22"/>
          <w:szCs w:val="22"/>
          <w:bdr w:val="none" w:sz="0" w:space="0" w:color="auto" w:frame="1"/>
          <w:shd w:val="clear" w:color="auto" w:fill="FFFFFF"/>
        </w:rPr>
        <w:t>Apply for a patent, trademark or registered design</w:t>
      </w:r>
      <w:r w:rsidR="00C8434B" w:rsidRPr="00C8434B">
        <w:rPr>
          <w:rStyle w:val="xnormaltextrun"/>
          <w:rFonts w:asciiTheme="minorHAnsi" w:hAnsiTheme="minorHAnsi" w:cstheme="minorHAnsi"/>
          <w:sz w:val="22"/>
          <w:szCs w:val="22"/>
          <w:bdr w:val="none" w:sz="0" w:space="0" w:color="auto" w:frame="1"/>
          <w:shd w:val="clear" w:color="auto" w:fill="FFFFFF"/>
        </w:rPr>
        <w:t>.</w:t>
      </w:r>
    </w:p>
    <w:p w14:paraId="4340BDBD" w14:textId="77777777" w:rsidR="00B32F91" w:rsidRPr="00DE728B" w:rsidRDefault="00B32F91" w:rsidP="00DE728B">
      <w:pPr>
        <w:pStyle w:val="ListParagraph"/>
        <w:rPr>
          <w:sz w:val="22"/>
          <w:szCs w:val="22"/>
        </w:rPr>
      </w:pPr>
    </w:p>
    <w:p w14:paraId="25BBE0AA" w14:textId="77777777" w:rsidR="00B32F91" w:rsidRPr="00C8434B" w:rsidRDefault="00B32F91" w:rsidP="005E707C">
      <w:pPr>
        <w:pStyle w:val="ListParagraph"/>
        <w:keepNext/>
        <w:keepLines/>
        <w:spacing w:before="40"/>
        <w:ind w:left="360"/>
        <w:outlineLvl w:val="1"/>
        <w:rPr>
          <w:rFonts w:asciiTheme="majorHAnsi" w:eastAsiaTheme="majorEastAsia" w:hAnsiTheme="majorHAnsi" w:cstheme="majorHAnsi"/>
          <w:color w:val="2F5496" w:themeColor="accent1" w:themeShade="BF"/>
          <w:sz w:val="26"/>
          <w:szCs w:val="26"/>
        </w:rPr>
      </w:pPr>
      <w:r w:rsidRPr="00C8434B">
        <w:rPr>
          <w:rFonts w:asciiTheme="majorHAnsi" w:eastAsiaTheme="majorEastAsia" w:hAnsiTheme="majorHAnsi" w:cstheme="majorHAnsi"/>
          <w:color w:val="2F5496" w:themeColor="accent1" w:themeShade="BF"/>
          <w:sz w:val="26"/>
          <w:szCs w:val="26"/>
        </w:rPr>
        <w:t>Ineligible Projects/Activities</w:t>
      </w:r>
    </w:p>
    <w:p w14:paraId="33A6ADE7" w14:textId="59D2700A" w:rsidR="00B32F91" w:rsidRPr="00C8434B" w:rsidRDefault="00B32F91" w:rsidP="00B32F91">
      <w:pPr>
        <w:pStyle w:val="ListParagraph"/>
        <w:numPr>
          <w:ilvl w:val="0"/>
          <w:numId w:val="38"/>
        </w:numPr>
        <w:spacing w:after="120" w:line="264" w:lineRule="auto"/>
        <w:jc w:val="both"/>
        <w:rPr>
          <w:rFonts w:asciiTheme="minorHAnsi" w:hAnsiTheme="minorHAnsi" w:cstheme="minorHAnsi"/>
          <w:sz w:val="22"/>
          <w:szCs w:val="22"/>
        </w:rPr>
      </w:pPr>
      <w:r w:rsidRPr="00C8434B">
        <w:rPr>
          <w:rFonts w:asciiTheme="minorHAnsi" w:hAnsiTheme="minorHAnsi" w:cstheme="minorHAnsi"/>
          <w:sz w:val="22"/>
          <w:szCs w:val="22"/>
        </w:rPr>
        <w:t xml:space="preserve">Projects from companies that have already received public funding for the same activity e.g.  via the Patent Costs support under the EI (Enterprise Ireland) RD&amp;I Fund and/ or the EU funding schemes such as </w:t>
      </w:r>
      <w:r w:rsidRPr="00C8434B">
        <w:rPr>
          <w:rFonts w:asciiTheme="minorHAnsi" w:hAnsiTheme="minorHAnsi" w:cstheme="minorHAnsi"/>
          <w:sz w:val="22"/>
          <w:szCs w:val="22"/>
          <w:shd w:val="clear" w:color="auto" w:fill="FFFFFF"/>
        </w:rPr>
        <w:t>the EUIPO Ideas Powered for Business SME Fund etc</w:t>
      </w:r>
      <w:r w:rsidR="00F30844">
        <w:rPr>
          <w:rFonts w:asciiTheme="minorHAnsi" w:hAnsiTheme="minorHAnsi" w:cstheme="minorHAnsi"/>
          <w:sz w:val="22"/>
          <w:szCs w:val="22"/>
          <w:shd w:val="clear" w:color="auto" w:fill="FFFFFF"/>
        </w:rPr>
        <w:t>.</w:t>
      </w:r>
    </w:p>
    <w:p w14:paraId="1C6A5016" w14:textId="7921287D" w:rsidR="00B32F91" w:rsidRPr="00C8434B" w:rsidRDefault="00B32F91" w:rsidP="00B32F91">
      <w:pPr>
        <w:pStyle w:val="ListParagraph"/>
        <w:numPr>
          <w:ilvl w:val="0"/>
          <w:numId w:val="38"/>
        </w:numPr>
        <w:spacing w:after="120" w:line="264" w:lineRule="auto"/>
        <w:jc w:val="both"/>
        <w:rPr>
          <w:rFonts w:asciiTheme="minorHAnsi" w:hAnsiTheme="minorHAnsi" w:cstheme="minorHAnsi"/>
          <w:sz w:val="22"/>
          <w:szCs w:val="22"/>
        </w:rPr>
      </w:pPr>
      <w:r w:rsidRPr="00C8434B">
        <w:rPr>
          <w:rFonts w:asciiTheme="minorHAnsi" w:eastAsia="Times New Roman" w:hAnsiTheme="minorHAnsi" w:cstheme="minorHAnsi"/>
          <w:sz w:val="22"/>
          <w:szCs w:val="22"/>
          <w:lang w:eastAsia="en-IE"/>
        </w:rPr>
        <w:t>IP acquisition costs</w:t>
      </w:r>
      <w:r w:rsidR="00F30844">
        <w:rPr>
          <w:rFonts w:asciiTheme="minorHAnsi" w:eastAsia="Times New Roman" w:hAnsiTheme="minorHAnsi" w:cstheme="minorHAnsi"/>
          <w:sz w:val="22"/>
          <w:szCs w:val="22"/>
          <w:lang w:eastAsia="en-IE"/>
        </w:rPr>
        <w:t>.</w:t>
      </w:r>
    </w:p>
    <w:p w14:paraId="358F1550" w14:textId="081B4317" w:rsidR="00B32F91" w:rsidRPr="00C8434B" w:rsidRDefault="00B32F91" w:rsidP="00B32F91">
      <w:pPr>
        <w:pStyle w:val="ListParagraph"/>
        <w:numPr>
          <w:ilvl w:val="0"/>
          <w:numId w:val="38"/>
        </w:numPr>
        <w:spacing w:after="120" w:line="264" w:lineRule="auto"/>
        <w:jc w:val="both"/>
        <w:rPr>
          <w:rFonts w:asciiTheme="minorHAnsi" w:hAnsiTheme="minorHAnsi" w:cstheme="minorHAnsi"/>
          <w:sz w:val="22"/>
          <w:szCs w:val="22"/>
        </w:rPr>
      </w:pPr>
      <w:r w:rsidRPr="00C8434B">
        <w:rPr>
          <w:rFonts w:asciiTheme="minorHAnsi" w:eastAsia="Times New Roman" w:hAnsiTheme="minorHAnsi" w:cstheme="minorHAnsi"/>
          <w:sz w:val="22"/>
          <w:szCs w:val="22"/>
          <w:lang w:eastAsia="en-IE"/>
        </w:rPr>
        <w:t>Licensing and royalty payments</w:t>
      </w:r>
      <w:r w:rsidR="00F30844">
        <w:rPr>
          <w:rFonts w:asciiTheme="minorHAnsi" w:eastAsia="Times New Roman" w:hAnsiTheme="minorHAnsi" w:cstheme="minorHAnsi"/>
          <w:sz w:val="22"/>
          <w:szCs w:val="22"/>
          <w:lang w:eastAsia="en-IE"/>
        </w:rPr>
        <w:t>.</w:t>
      </w:r>
    </w:p>
    <w:p w14:paraId="4D31762D" w14:textId="18E9909D" w:rsidR="00B32F91" w:rsidRPr="00C8434B" w:rsidRDefault="00B32F91" w:rsidP="00B32F91">
      <w:pPr>
        <w:pStyle w:val="ListParagraph"/>
        <w:numPr>
          <w:ilvl w:val="0"/>
          <w:numId w:val="38"/>
        </w:numPr>
        <w:spacing w:after="120" w:line="264" w:lineRule="auto"/>
        <w:jc w:val="both"/>
        <w:rPr>
          <w:rFonts w:asciiTheme="minorHAnsi" w:hAnsiTheme="minorHAnsi" w:cstheme="minorHAnsi"/>
          <w:sz w:val="22"/>
          <w:szCs w:val="22"/>
        </w:rPr>
      </w:pPr>
      <w:r w:rsidRPr="00C8434B">
        <w:rPr>
          <w:rFonts w:asciiTheme="minorHAnsi" w:hAnsiTheme="minorHAnsi" w:cstheme="minorHAnsi"/>
          <w:bCs/>
          <w:sz w:val="22"/>
          <w:szCs w:val="22"/>
        </w:rPr>
        <w:t>Patent filing in relation to Technology Acquisition, unless the technology is necessary to enable RD&amp;I activity</w:t>
      </w:r>
      <w:r w:rsidR="00F30844">
        <w:rPr>
          <w:rFonts w:asciiTheme="minorHAnsi" w:hAnsiTheme="minorHAnsi" w:cstheme="minorHAnsi"/>
          <w:bCs/>
          <w:sz w:val="22"/>
          <w:szCs w:val="22"/>
        </w:rPr>
        <w:t>.</w:t>
      </w:r>
    </w:p>
    <w:p w14:paraId="7D8F8D90" w14:textId="4AD9043F" w:rsidR="00B32F91" w:rsidRPr="00C8434B" w:rsidRDefault="00B32F91" w:rsidP="00B32F91">
      <w:pPr>
        <w:pStyle w:val="ListParagraph"/>
        <w:numPr>
          <w:ilvl w:val="0"/>
          <w:numId w:val="38"/>
        </w:numPr>
        <w:spacing w:after="120" w:line="264" w:lineRule="auto"/>
        <w:jc w:val="both"/>
        <w:rPr>
          <w:rFonts w:asciiTheme="minorHAnsi" w:hAnsiTheme="minorHAnsi" w:cstheme="minorHAnsi"/>
          <w:sz w:val="22"/>
          <w:szCs w:val="22"/>
        </w:rPr>
      </w:pPr>
      <w:r w:rsidRPr="00C8434B">
        <w:rPr>
          <w:rFonts w:asciiTheme="minorHAnsi" w:hAnsiTheme="minorHAnsi" w:cstheme="minorHAnsi"/>
          <w:bCs/>
          <w:sz w:val="22"/>
          <w:szCs w:val="22"/>
        </w:rPr>
        <w:t>Professional fees to cover technical, commercial and legal due diligence</w:t>
      </w:r>
      <w:r w:rsidR="00F30844">
        <w:rPr>
          <w:rFonts w:asciiTheme="minorHAnsi" w:hAnsiTheme="minorHAnsi" w:cstheme="minorHAnsi"/>
          <w:bCs/>
          <w:sz w:val="22"/>
          <w:szCs w:val="22"/>
        </w:rPr>
        <w:t>.</w:t>
      </w:r>
    </w:p>
    <w:p w14:paraId="0736B8C3" w14:textId="0284C94B" w:rsidR="00B32F91" w:rsidRPr="00C8434B" w:rsidRDefault="00B32F91" w:rsidP="00B32F91">
      <w:pPr>
        <w:pStyle w:val="ListParagraph"/>
        <w:numPr>
          <w:ilvl w:val="0"/>
          <w:numId w:val="38"/>
        </w:numPr>
        <w:spacing w:after="120" w:line="264" w:lineRule="auto"/>
        <w:jc w:val="both"/>
        <w:rPr>
          <w:rFonts w:asciiTheme="minorHAnsi" w:hAnsiTheme="minorHAnsi" w:cstheme="minorHAnsi"/>
          <w:sz w:val="22"/>
          <w:szCs w:val="22"/>
        </w:rPr>
      </w:pPr>
      <w:r w:rsidRPr="00C8434B">
        <w:rPr>
          <w:rFonts w:asciiTheme="minorHAnsi" w:eastAsia="Times New Roman" w:hAnsiTheme="minorHAnsi" w:cstheme="minorHAnsi"/>
          <w:sz w:val="22"/>
          <w:szCs w:val="22"/>
          <w:lang w:eastAsia="en-IE"/>
        </w:rPr>
        <w:t>Legal and professional costs in support of IP rights litigation actions</w:t>
      </w:r>
      <w:r w:rsidR="00F30844">
        <w:rPr>
          <w:rFonts w:asciiTheme="minorHAnsi" w:eastAsia="Times New Roman" w:hAnsiTheme="minorHAnsi" w:cstheme="minorHAnsi"/>
          <w:sz w:val="22"/>
          <w:szCs w:val="22"/>
          <w:lang w:eastAsia="en-IE"/>
        </w:rPr>
        <w:t>.</w:t>
      </w:r>
    </w:p>
    <w:p w14:paraId="595AD699" w14:textId="77777777" w:rsidR="00B32F91" w:rsidRPr="005E707C" w:rsidRDefault="00B32F91" w:rsidP="007C1DAE">
      <w:pPr>
        <w:jc w:val="both"/>
        <w:rPr>
          <w:rFonts w:ascii="Arial" w:hAnsi="Arial" w:cs="Arial"/>
          <w:sz w:val="22"/>
          <w:szCs w:val="22"/>
        </w:rPr>
      </w:pPr>
    </w:p>
    <w:p w14:paraId="0CE7898C" w14:textId="77777777" w:rsidR="00B32F91" w:rsidRPr="005E707C" w:rsidRDefault="00B32F91" w:rsidP="007C1DAE">
      <w:pPr>
        <w:jc w:val="both"/>
        <w:rPr>
          <w:rFonts w:ascii="Arial" w:hAnsi="Arial" w:cs="Arial"/>
          <w:sz w:val="22"/>
          <w:szCs w:val="22"/>
        </w:rPr>
      </w:pPr>
    </w:p>
    <w:p w14:paraId="29946ACC" w14:textId="77777777" w:rsidR="00B32F91" w:rsidRPr="007C1DAE" w:rsidRDefault="00B32F91" w:rsidP="007C1DAE">
      <w:pPr>
        <w:jc w:val="both"/>
        <w:rPr>
          <w:rFonts w:cstheme="minorHAnsi"/>
          <w:sz w:val="22"/>
          <w:szCs w:val="22"/>
        </w:rPr>
      </w:pPr>
    </w:p>
    <w:p w14:paraId="3DD1CAA8" w14:textId="77777777" w:rsidR="00B32F91" w:rsidRDefault="00B32F91">
      <w:pPr>
        <w:rPr>
          <w:rFonts w:asciiTheme="majorHAnsi" w:eastAsia="Times New Roman" w:hAnsiTheme="majorHAnsi" w:cstheme="majorBidi"/>
          <w:color w:val="2F5496" w:themeColor="accent1" w:themeShade="BF"/>
          <w:sz w:val="36"/>
          <w:szCs w:val="36"/>
          <w:lang w:val="en-IE" w:eastAsia="en-IE"/>
        </w:rPr>
      </w:pPr>
      <w:r>
        <w:rPr>
          <w:rFonts w:eastAsia="Times New Roman"/>
          <w:lang w:val="en-IE" w:eastAsia="en-IE"/>
        </w:rPr>
        <w:br w:type="page"/>
      </w:r>
    </w:p>
    <w:p w14:paraId="345871DD" w14:textId="77777777" w:rsidR="00B32F91" w:rsidRPr="00F30844" w:rsidRDefault="00B32F91" w:rsidP="005E707C">
      <w:pPr>
        <w:pStyle w:val="Heading2"/>
        <w:rPr>
          <w:rFonts w:asciiTheme="majorHAnsi" w:hAnsiTheme="majorHAnsi" w:cstheme="majorHAnsi"/>
          <w:color w:val="2F5496" w:themeColor="accent1" w:themeShade="BF"/>
          <w:lang w:val="en-IE" w:eastAsia="en-IE"/>
        </w:rPr>
      </w:pPr>
      <w:bookmarkStart w:id="7" w:name="_Appendix_4:_"/>
      <w:bookmarkEnd w:id="7"/>
      <w:r w:rsidRPr="00F30844">
        <w:rPr>
          <w:rFonts w:asciiTheme="majorHAnsi" w:hAnsiTheme="majorHAnsi" w:cstheme="majorHAnsi"/>
          <w:color w:val="2F5496" w:themeColor="accent1" w:themeShade="BF"/>
          <w:lang w:val="en-IE" w:eastAsia="en-IE"/>
        </w:rPr>
        <w:lastRenderedPageBreak/>
        <w:t>Appendix 4:  Digital Discovery</w:t>
      </w:r>
    </w:p>
    <w:p w14:paraId="4014F52A" w14:textId="77777777" w:rsidR="00B32F91" w:rsidRPr="00F30844" w:rsidRDefault="00B32F91" w:rsidP="00550F48">
      <w:pPr>
        <w:rPr>
          <w:rFonts w:asciiTheme="minorHAnsi" w:hAnsiTheme="minorHAnsi" w:cstheme="minorHAnsi"/>
          <w:sz w:val="22"/>
          <w:szCs w:val="22"/>
          <w:lang w:eastAsia="en-GB"/>
        </w:rPr>
      </w:pPr>
      <w:r w:rsidRPr="00F30844">
        <w:rPr>
          <w:rFonts w:asciiTheme="minorHAnsi" w:hAnsiTheme="minorHAnsi" w:cstheme="minorHAnsi"/>
          <w:sz w:val="22"/>
          <w:szCs w:val="22"/>
          <w:lang w:eastAsia="en-GB"/>
        </w:rPr>
        <w:t>Support for companies to engage a digital expert to support a company-driven digital initiative led by an identified internal digital champion.</w:t>
      </w:r>
    </w:p>
    <w:p w14:paraId="479AFBEC" w14:textId="77777777" w:rsidR="00EA1E6B" w:rsidRPr="00EA1E6B" w:rsidRDefault="00EA1E6B" w:rsidP="00550F48">
      <w:pPr>
        <w:rPr>
          <w:rFonts w:ascii="Arial" w:hAnsi="Arial" w:cs="Arial"/>
          <w:sz w:val="22"/>
          <w:szCs w:val="22"/>
          <w:lang w:eastAsia="en-GB"/>
        </w:rPr>
      </w:pPr>
    </w:p>
    <w:p w14:paraId="7F0E29D7" w14:textId="77777777" w:rsidR="00B32F91" w:rsidRPr="00F30844" w:rsidRDefault="00B32F91" w:rsidP="005E707C">
      <w:pPr>
        <w:pStyle w:val="ListParagraph"/>
        <w:keepNext/>
        <w:keepLines/>
        <w:spacing w:before="40"/>
        <w:ind w:left="360"/>
        <w:outlineLvl w:val="1"/>
        <w:rPr>
          <w:rFonts w:asciiTheme="majorHAnsi" w:eastAsiaTheme="majorEastAsia" w:hAnsiTheme="majorHAnsi" w:cstheme="majorHAnsi"/>
          <w:color w:val="2F5496" w:themeColor="accent1" w:themeShade="BF"/>
          <w:sz w:val="26"/>
          <w:szCs w:val="26"/>
        </w:rPr>
      </w:pPr>
      <w:r w:rsidRPr="00F30844">
        <w:rPr>
          <w:rFonts w:asciiTheme="majorHAnsi" w:eastAsiaTheme="majorEastAsia" w:hAnsiTheme="majorHAnsi" w:cstheme="majorHAnsi"/>
          <w:color w:val="2F5496" w:themeColor="accent1" w:themeShade="BF"/>
          <w:sz w:val="26"/>
          <w:szCs w:val="26"/>
        </w:rPr>
        <w:t>Eligible Project/Activities</w:t>
      </w:r>
    </w:p>
    <w:p w14:paraId="5D681849" w14:textId="77777777" w:rsidR="00B32F91" w:rsidRPr="00F30844" w:rsidRDefault="00B32F91" w:rsidP="003C5A6E">
      <w:pPr>
        <w:rPr>
          <w:rFonts w:asciiTheme="minorHAnsi" w:hAnsiTheme="minorHAnsi" w:cstheme="minorHAnsi"/>
          <w:sz w:val="22"/>
          <w:szCs w:val="22"/>
        </w:rPr>
      </w:pPr>
      <w:r w:rsidRPr="00F30844">
        <w:rPr>
          <w:rFonts w:asciiTheme="minorHAnsi" w:hAnsiTheme="minorHAnsi" w:cstheme="minorHAnsi"/>
          <w:sz w:val="22"/>
          <w:szCs w:val="22"/>
        </w:rPr>
        <w:t xml:space="preserve">Eligible projects may include advisory services </w:t>
      </w:r>
      <w:proofErr w:type="gramStart"/>
      <w:r w:rsidRPr="00F30844">
        <w:rPr>
          <w:rFonts w:asciiTheme="minorHAnsi" w:hAnsiTheme="minorHAnsi" w:cstheme="minorHAnsi"/>
          <w:sz w:val="22"/>
          <w:szCs w:val="22"/>
        </w:rPr>
        <w:t>on;</w:t>
      </w:r>
      <w:proofErr w:type="gramEnd"/>
      <w:r w:rsidRPr="00F30844">
        <w:rPr>
          <w:rFonts w:asciiTheme="minorHAnsi" w:hAnsiTheme="minorHAnsi" w:cstheme="minorHAnsi"/>
          <w:sz w:val="22"/>
          <w:szCs w:val="22"/>
        </w:rPr>
        <w:t xml:space="preserve"> </w:t>
      </w:r>
    </w:p>
    <w:p w14:paraId="7D789A08" w14:textId="77777777" w:rsidR="00B32F91" w:rsidRPr="00F30844" w:rsidRDefault="00B32F91" w:rsidP="59939408">
      <w:pPr>
        <w:pStyle w:val="NoSpacing"/>
        <w:numPr>
          <w:ilvl w:val="0"/>
          <w:numId w:val="52"/>
        </w:numPr>
        <w:rPr>
          <w:sz w:val="22"/>
          <w:szCs w:val="22"/>
          <w:lang w:val="en-GB"/>
        </w:rPr>
      </w:pPr>
      <w:r w:rsidRPr="59939408">
        <w:rPr>
          <w:sz w:val="22"/>
          <w:szCs w:val="22"/>
          <w:lang w:val="en-GB"/>
        </w:rPr>
        <w:t>Analysis of existing digital systems in the business to identify potential gaps in meeting business needs.</w:t>
      </w:r>
    </w:p>
    <w:p w14:paraId="16BA2C3B" w14:textId="77777777" w:rsidR="00B32F91" w:rsidRPr="00F30844" w:rsidRDefault="00B32F91" w:rsidP="59939408">
      <w:pPr>
        <w:pStyle w:val="NoSpacing"/>
        <w:numPr>
          <w:ilvl w:val="0"/>
          <w:numId w:val="52"/>
        </w:numPr>
        <w:rPr>
          <w:sz w:val="22"/>
          <w:szCs w:val="22"/>
          <w:lang w:val="en-GB"/>
        </w:rPr>
      </w:pPr>
      <w:r w:rsidRPr="59939408">
        <w:rPr>
          <w:sz w:val="22"/>
          <w:szCs w:val="22"/>
          <w:lang w:val="en-GB"/>
        </w:rPr>
        <w:t xml:space="preserve">Exploration of opportunities to optimise existing systems and to integrate with new solutions to enhance business operations </w:t>
      </w:r>
    </w:p>
    <w:p w14:paraId="7F3F88B4" w14:textId="77777777" w:rsidR="00B32F91" w:rsidRPr="00F30844" w:rsidRDefault="00B32F91" w:rsidP="00F30844">
      <w:pPr>
        <w:pStyle w:val="NoSpacing"/>
        <w:numPr>
          <w:ilvl w:val="0"/>
          <w:numId w:val="52"/>
        </w:numPr>
        <w:rPr>
          <w:rFonts w:cstheme="minorHAnsi"/>
          <w:sz w:val="22"/>
          <w:szCs w:val="22"/>
        </w:rPr>
      </w:pPr>
      <w:r w:rsidRPr="00F30844">
        <w:rPr>
          <w:rFonts w:cstheme="minorHAnsi"/>
          <w:sz w:val="22"/>
          <w:szCs w:val="22"/>
        </w:rPr>
        <w:t>Guidance on the implementation of new or enhanced digital solutions</w:t>
      </w:r>
    </w:p>
    <w:p w14:paraId="436C6736" w14:textId="77777777" w:rsidR="00B32F91" w:rsidRPr="00F30844" w:rsidRDefault="00B32F91" w:rsidP="00FD4FFC">
      <w:pPr>
        <w:rPr>
          <w:rFonts w:asciiTheme="minorHAnsi" w:hAnsiTheme="minorHAnsi" w:cstheme="minorHAnsi"/>
          <w:lang w:eastAsia="en-GB"/>
        </w:rPr>
      </w:pPr>
    </w:p>
    <w:p w14:paraId="30C06C58" w14:textId="77777777" w:rsidR="00B32F91" w:rsidRPr="00F30844" w:rsidRDefault="00B32F91" w:rsidP="00FD4FFC">
      <w:pPr>
        <w:rPr>
          <w:rFonts w:asciiTheme="minorHAnsi" w:hAnsiTheme="minorHAnsi" w:cstheme="minorHAnsi"/>
          <w:sz w:val="22"/>
          <w:szCs w:val="22"/>
          <w:lang w:eastAsia="en-GB"/>
        </w:rPr>
      </w:pPr>
      <w:r w:rsidRPr="00F30844">
        <w:rPr>
          <w:rFonts w:asciiTheme="minorHAnsi" w:hAnsiTheme="minorHAnsi" w:cstheme="minorHAnsi"/>
          <w:sz w:val="22"/>
          <w:szCs w:val="22"/>
          <w:lang w:eastAsia="en-GB"/>
        </w:rPr>
        <w:t>Technology areas to focus on include:</w:t>
      </w:r>
    </w:p>
    <w:p w14:paraId="61092AC2" w14:textId="77777777" w:rsidR="00B32F91" w:rsidRPr="00F30844" w:rsidRDefault="00B32F91" w:rsidP="59939408">
      <w:pPr>
        <w:pStyle w:val="NoSpacing"/>
        <w:numPr>
          <w:ilvl w:val="0"/>
          <w:numId w:val="53"/>
        </w:numPr>
        <w:rPr>
          <w:sz w:val="22"/>
          <w:szCs w:val="22"/>
          <w:lang w:val="en-GB"/>
        </w:rPr>
      </w:pPr>
      <w:r w:rsidRPr="59939408">
        <w:rPr>
          <w:sz w:val="22"/>
          <w:szCs w:val="22"/>
          <w:lang w:val="en-GB"/>
        </w:rPr>
        <w:t xml:space="preserve">Enterprise IT systems that are not already in use in the organisation (CRM, ERP, MES, Cloud Computing etc.).   </w:t>
      </w:r>
    </w:p>
    <w:p w14:paraId="37BA368F" w14:textId="77777777" w:rsidR="00B32F91" w:rsidRPr="00F30844" w:rsidRDefault="00B32F91" w:rsidP="59939408">
      <w:pPr>
        <w:pStyle w:val="NoSpacing"/>
        <w:numPr>
          <w:ilvl w:val="0"/>
          <w:numId w:val="53"/>
        </w:numPr>
        <w:rPr>
          <w:sz w:val="22"/>
          <w:szCs w:val="22"/>
          <w:lang w:val="en-GB"/>
        </w:rPr>
      </w:pPr>
      <w:r w:rsidRPr="59939408">
        <w:rPr>
          <w:sz w:val="22"/>
          <w:szCs w:val="22"/>
          <w:lang w:val="en-GB"/>
        </w:rPr>
        <w:t xml:space="preserve">Data Analytics &amp; Artificial Intelligence (Machine Learning).   </w:t>
      </w:r>
    </w:p>
    <w:p w14:paraId="7DCBDCDE" w14:textId="77777777" w:rsidR="00B32F91" w:rsidRPr="00F30844" w:rsidRDefault="00B32F91" w:rsidP="00F30844">
      <w:pPr>
        <w:pStyle w:val="NoSpacing"/>
        <w:numPr>
          <w:ilvl w:val="0"/>
          <w:numId w:val="53"/>
        </w:numPr>
        <w:rPr>
          <w:rFonts w:cstheme="minorHAnsi"/>
          <w:sz w:val="22"/>
          <w:szCs w:val="22"/>
        </w:rPr>
      </w:pPr>
      <w:r w:rsidRPr="00F30844">
        <w:rPr>
          <w:rFonts w:cstheme="minorHAnsi"/>
          <w:sz w:val="22"/>
          <w:szCs w:val="22"/>
        </w:rPr>
        <w:t>Process Automation, Sensors &amp; Robotics, Internet of Things (IoT), Augmented Reality, Digital Twins</w:t>
      </w:r>
    </w:p>
    <w:p w14:paraId="10E53773" w14:textId="77777777" w:rsidR="00B32F91" w:rsidRPr="00F30844" w:rsidRDefault="00B32F91" w:rsidP="00FD4FFC">
      <w:pPr>
        <w:rPr>
          <w:rFonts w:asciiTheme="minorHAnsi" w:hAnsiTheme="minorHAnsi" w:cstheme="minorHAnsi"/>
          <w:sz w:val="22"/>
          <w:szCs w:val="22"/>
          <w:lang w:eastAsia="en-GB"/>
        </w:rPr>
      </w:pPr>
    </w:p>
    <w:p w14:paraId="448CE190" w14:textId="77777777" w:rsidR="00B32F91" w:rsidRPr="00F30844" w:rsidRDefault="00B32F91" w:rsidP="00FD4FFC">
      <w:pPr>
        <w:rPr>
          <w:rFonts w:asciiTheme="minorHAnsi" w:hAnsiTheme="minorHAnsi" w:cstheme="minorHAnsi"/>
          <w:sz w:val="22"/>
          <w:szCs w:val="22"/>
          <w:lang w:eastAsia="en-GB"/>
        </w:rPr>
      </w:pPr>
      <w:r w:rsidRPr="00F30844">
        <w:rPr>
          <w:rFonts w:asciiTheme="minorHAnsi" w:hAnsiTheme="minorHAnsi" w:cstheme="minorHAnsi"/>
          <w:sz w:val="22"/>
          <w:szCs w:val="22"/>
          <w:lang w:eastAsia="en-GB"/>
        </w:rPr>
        <w:t>Expected Outcomes</w:t>
      </w:r>
    </w:p>
    <w:p w14:paraId="6BB62049" w14:textId="77777777" w:rsidR="00B32F91" w:rsidRPr="00F30844" w:rsidRDefault="00B32F91" w:rsidP="00F30844">
      <w:pPr>
        <w:pStyle w:val="NoSpacing"/>
        <w:numPr>
          <w:ilvl w:val="0"/>
          <w:numId w:val="54"/>
        </w:numPr>
        <w:rPr>
          <w:rFonts w:cstheme="minorHAnsi"/>
          <w:sz w:val="22"/>
          <w:szCs w:val="22"/>
        </w:rPr>
      </w:pPr>
      <w:r w:rsidRPr="00F30844">
        <w:rPr>
          <w:rFonts w:cstheme="minorHAnsi"/>
          <w:sz w:val="22"/>
          <w:szCs w:val="22"/>
        </w:rPr>
        <w:t>The introduction of innovative digital technologies and solutions, AND/OR</w:t>
      </w:r>
    </w:p>
    <w:p w14:paraId="45017B98" w14:textId="77777777" w:rsidR="00B32F91" w:rsidRPr="00F30844" w:rsidRDefault="00B32F91" w:rsidP="00F30844">
      <w:pPr>
        <w:pStyle w:val="NoSpacing"/>
        <w:numPr>
          <w:ilvl w:val="0"/>
          <w:numId w:val="54"/>
        </w:numPr>
        <w:rPr>
          <w:rFonts w:cstheme="minorHAnsi"/>
          <w:sz w:val="22"/>
          <w:szCs w:val="22"/>
        </w:rPr>
      </w:pPr>
      <w:r w:rsidRPr="00F30844">
        <w:rPr>
          <w:rFonts w:cstheme="minorHAnsi"/>
          <w:sz w:val="22"/>
          <w:szCs w:val="22"/>
        </w:rPr>
        <w:t>Creation of a digital action plan, with targeted initiatives that can be implemented within the next 3 -12 months.</w:t>
      </w:r>
    </w:p>
    <w:p w14:paraId="64EF3F6C" w14:textId="77777777" w:rsidR="00B32F91" w:rsidRDefault="00B32F91" w:rsidP="00FD4FFC">
      <w:pPr>
        <w:pStyle w:val="Heading2"/>
        <w:rPr>
          <w:lang w:eastAsia="en-GB"/>
        </w:rPr>
      </w:pPr>
      <w:bookmarkStart w:id="8" w:name="_Hlk24436655"/>
    </w:p>
    <w:p w14:paraId="4960FDD5" w14:textId="77777777" w:rsidR="00B32F91" w:rsidRPr="005E707C" w:rsidRDefault="00B32F91" w:rsidP="005E707C">
      <w:pPr>
        <w:pStyle w:val="ListParagraph"/>
        <w:keepNext/>
        <w:keepLines/>
        <w:spacing w:before="40"/>
        <w:ind w:left="360"/>
        <w:outlineLvl w:val="1"/>
        <w:rPr>
          <w:rFonts w:ascii="Arial" w:eastAsiaTheme="majorEastAsia" w:hAnsi="Arial" w:cs="Arial"/>
          <w:color w:val="2F5496" w:themeColor="accent1" w:themeShade="BF"/>
          <w:sz w:val="26"/>
          <w:szCs w:val="26"/>
        </w:rPr>
      </w:pPr>
      <w:r w:rsidRPr="005E707C">
        <w:rPr>
          <w:rFonts w:ascii="Arial" w:eastAsiaTheme="majorEastAsia" w:hAnsi="Arial" w:cs="Arial"/>
          <w:color w:val="2F5496" w:themeColor="accent1" w:themeShade="BF"/>
          <w:sz w:val="26"/>
          <w:szCs w:val="26"/>
        </w:rPr>
        <w:t xml:space="preserve">Ineligible Activities </w:t>
      </w:r>
    </w:p>
    <w:p w14:paraId="28F6A7ED" w14:textId="77777777" w:rsidR="00B32F91" w:rsidRPr="003650DD" w:rsidRDefault="00B32F91" w:rsidP="00FD4FFC">
      <w:pPr>
        <w:rPr>
          <w:rFonts w:asciiTheme="minorHAnsi" w:hAnsiTheme="minorHAnsi" w:cstheme="minorHAnsi"/>
          <w:sz w:val="22"/>
          <w:szCs w:val="22"/>
        </w:rPr>
      </w:pPr>
      <w:r w:rsidRPr="003650DD">
        <w:rPr>
          <w:rFonts w:asciiTheme="minorHAnsi" w:hAnsiTheme="minorHAnsi" w:cstheme="minorHAnsi"/>
          <w:sz w:val="22"/>
          <w:szCs w:val="22"/>
        </w:rPr>
        <w:t>The Digital Discovery is not a general consultancy grant and cannot be used for items such as:</w:t>
      </w:r>
    </w:p>
    <w:p w14:paraId="1994F6E2" w14:textId="77777777" w:rsidR="00B32F91" w:rsidRPr="003650DD" w:rsidRDefault="00B32F91" w:rsidP="00F30844">
      <w:pPr>
        <w:pStyle w:val="ListParagraph"/>
        <w:numPr>
          <w:ilvl w:val="0"/>
          <w:numId w:val="55"/>
        </w:numPr>
        <w:rPr>
          <w:rFonts w:asciiTheme="minorHAnsi" w:hAnsiTheme="minorHAnsi" w:cstheme="minorHAnsi"/>
          <w:sz w:val="22"/>
          <w:szCs w:val="22"/>
        </w:rPr>
      </w:pPr>
      <w:r w:rsidRPr="003650DD">
        <w:rPr>
          <w:rFonts w:asciiTheme="minorHAnsi" w:hAnsiTheme="minorHAnsi" w:cstheme="minorHAnsi"/>
          <w:sz w:val="22"/>
          <w:szCs w:val="22"/>
        </w:rPr>
        <w:t xml:space="preserve">Routine or business as usual upgrades of Digital systems already in use that would not lead to a significant change in the business. </w:t>
      </w:r>
    </w:p>
    <w:p w14:paraId="02CFF008" w14:textId="698291AD" w:rsidR="00B32F91" w:rsidRPr="003650DD" w:rsidRDefault="00B32F91" w:rsidP="00F30844">
      <w:pPr>
        <w:pStyle w:val="ListParagraph"/>
        <w:numPr>
          <w:ilvl w:val="0"/>
          <w:numId w:val="55"/>
        </w:numPr>
        <w:rPr>
          <w:rFonts w:asciiTheme="minorHAnsi" w:hAnsiTheme="minorHAnsi" w:cstheme="minorHAnsi"/>
          <w:sz w:val="22"/>
          <w:szCs w:val="22"/>
        </w:rPr>
      </w:pPr>
      <w:r w:rsidRPr="003650DD">
        <w:rPr>
          <w:rFonts w:asciiTheme="minorHAnsi" w:hAnsiTheme="minorHAnsi" w:cstheme="minorHAnsi"/>
          <w:sz w:val="22"/>
          <w:szCs w:val="22"/>
        </w:rPr>
        <w:t>Paid-for software trials with technology vendors</w:t>
      </w:r>
      <w:r w:rsidR="003650DD">
        <w:rPr>
          <w:rFonts w:asciiTheme="minorHAnsi" w:hAnsiTheme="minorHAnsi" w:cstheme="minorHAnsi"/>
          <w:sz w:val="22"/>
          <w:szCs w:val="22"/>
        </w:rPr>
        <w:t>.</w:t>
      </w:r>
    </w:p>
    <w:p w14:paraId="7E3811A8" w14:textId="77777777" w:rsidR="00B32F91" w:rsidRPr="003650DD" w:rsidRDefault="00B32F91" w:rsidP="00F30844">
      <w:pPr>
        <w:pStyle w:val="ListParagraph"/>
        <w:numPr>
          <w:ilvl w:val="0"/>
          <w:numId w:val="55"/>
        </w:numPr>
        <w:rPr>
          <w:rFonts w:asciiTheme="minorHAnsi" w:hAnsiTheme="minorHAnsi" w:cstheme="minorHAnsi"/>
          <w:sz w:val="22"/>
          <w:szCs w:val="22"/>
        </w:rPr>
      </w:pPr>
      <w:r w:rsidRPr="003650DD">
        <w:rPr>
          <w:rFonts w:asciiTheme="minorHAnsi" w:hAnsiTheme="minorHAnsi" w:cstheme="minorHAnsi"/>
          <w:sz w:val="22"/>
          <w:szCs w:val="22"/>
        </w:rPr>
        <w:t>Assessments from technology platform or software providers, the digital expert must be solution agnostic.</w:t>
      </w:r>
    </w:p>
    <w:p w14:paraId="480A676C" w14:textId="77777777" w:rsidR="00B32F91" w:rsidRPr="003650DD" w:rsidRDefault="00B32F91" w:rsidP="00F30844">
      <w:pPr>
        <w:pStyle w:val="ListParagraph"/>
        <w:numPr>
          <w:ilvl w:val="0"/>
          <w:numId w:val="55"/>
        </w:numPr>
        <w:rPr>
          <w:rFonts w:asciiTheme="minorHAnsi" w:hAnsiTheme="minorHAnsi" w:cstheme="minorHAnsi"/>
          <w:sz w:val="22"/>
          <w:szCs w:val="22"/>
        </w:rPr>
      </w:pPr>
      <w:r w:rsidRPr="003650DD">
        <w:rPr>
          <w:rFonts w:asciiTheme="minorHAnsi" w:hAnsiTheme="minorHAnsi" w:cstheme="minorHAnsi"/>
          <w:sz w:val="22"/>
          <w:szCs w:val="22"/>
        </w:rPr>
        <w:t xml:space="preserve">General management consultancy including business strategy, market research, product development, financial review and planning, sales &amp; marketing, HR planning or health &amp; safety training, IT training for existing systems, routine consultancy audits including web, cyber security. </w:t>
      </w:r>
    </w:p>
    <w:p w14:paraId="522E81B6" w14:textId="511B9554" w:rsidR="00B32F91" w:rsidRPr="003650DD" w:rsidRDefault="00B32F91" w:rsidP="00F30844">
      <w:pPr>
        <w:pStyle w:val="ListParagraph"/>
        <w:numPr>
          <w:ilvl w:val="0"/>
          <w:numId w:val="55"/>
        </w:numPr>
        <w:rPr>
          <w:rFonts w:asciiTheme="minorHAnsi" w:hAnsiTheme="minorHAnsi" w:cstheme="minorHAnsi"/>
          <w:sz w:val="22"/>
          <w:szCs w:val="22"/>
        </w:rPr>
      </w:pPr>
      <w:r w:rsidRPr="003650DD">
        <w:rPr>
          <w:rFonts w:asciiTheme="minorHAnsi" w:hAnsiTheme="minorHAnsi" w:cstheme="minorHAnsi"/>
          <w:sz w:val="22"/>
          <w:szCs w:val="22"/>
        </w:rPr>
        <w:t>Scoping or sourcing equipment purchases or planning for other grant applications</w:t>
      </w:r>
      <w:r w:rsidR="003650DD">
        <w:rPr>
          <w:rFonts w:asciiTheme="minorHAnsi" w:hAnsiTheme="minorHAnsi" w:cstheme="minorHAnsi"/>
          <w:sz w:val="22"/>
          <w:szCs w:val="22"/>
        </w:rPr>
        <w:t>.</w:t>
      </w:r>
    </w:p>
    <w:p w14:paraId="5D32F709" w14:textId="2A3C9E8B" w:rsidR="00B32F91" w:rsidRPr="003650DD" w:rsidRDefault="00B32F91" w:rsidP="00F30844">
      <w:pPr>
        <w:pStyle w:val="ListParagraph"/>
        <w:numPr>
          <w:ilvl w:val="0"/>
          <w:numId w:val="55"/>
        </w:numPr>
        <w:rPr>
          <w:rFonts w:asciiTheme="minorHAnsi" w:hAnsiTheme="minorHAnsi" w:cstheme="minorHAnsi"/>
          <w:sz w:val="22"/>
          <w:szCs w:val="22"/>
        </w:rPr>
      </w:pPr>
      <w:r w:rsidRPr="003650DD">
        <w:rPr>
          <w:rFonts w:asciiTheme="minorHAnsi" w:hAnsiTheme="minorHAnsi" w:cstheme="minorHAnsi"/>
          <w:sz w:val="22"/>
          <w:szCs w:val="22"/>
        </w:rPr>
        <w:t>General business process or value stream mapping</w:t>
      </w:r>
      <w:r w:rsidR="003650DD">
        <w:rPr>
          <w:rFonts w:asciiTheme="minorHAnsi" w:hAnsiTheme="minorHAnsi" w:cstheme="minorHAnsi"/>
          <w:sz w:val="22"/>
          <w:szCs w:val="22"/>
        </w:rPr>
        <w:t>.</w:t>
      </w:r>
    </w:p>
    <w:p w14:paraId="073BFEE5" w14:textId="4100A914" w:rsidR="00B32F91" w:rsidRPr="003650DD" w:rsidRDefault="00B32F91" w:rsidP="00F30844">
      <w:pPr>
        <w:pStyle w:val="ListParagraph"/>
        <w:numPr>
          <w:ilvl w:val="0"/>
          <w:numId w:val="55"/>
        </w:numPr>
        <w:rPr>
          <w:rFonts w:asciiTheme="minorHAnsi" w:hAnsiTheme="minorHAnsi" w:cstheme="minorHAnsi"/>
          <w:sz w:val="22"/>
          <w:szCs w:val="22"/>
        </w:rPr>
      </w:pPr>
      <w:r w:rsidRPr="003650DD">
        <w:rPr>
          <w:rFonts w:asciiTheme="minorHAnsi" w:hAnsiTheme="minorHAnsi" w:cstheme="minorHAnsi"/>
          <w:sz w:val="22"/>
          <w:szCs w:val="22"/>
        </w:rPr>
        <w:t>Routine consultancy audits including cyber-security, health &amp; safety or energy</w:t>
      </w:r>
      <w:r w:rsidR="003650DD">
        <w:rPr>
          <w:rFonts w:asciiTheme="minorHAnsi" w:hAnsiTheme="minorHAnsi" w:cstheme="minorHAnsi"/>
          <w:sz w:val="22"/>
          <w:szCs w:val="22"/>
        </w:rPr>
        <w:t>.</w:t>
      </w:r>
    </w:p>
    <w:p w14:paraId="23AE5CE0" w14:textId="729B0AF7" w:rsidR="00B32F91" w:rsidRPr="003650DD" w:rsidRDefault="00B32F91" w:rsidP="00F30844">
      <w:pPr>
        <w:pStyle w:val="ListParagraph"/>
        <w:numPr>
          <w:ilvl w:val="0"/>
          <w:numId w:val="55"/>
        </w:numPr>
        <w:rPr>
          <w:rFonts w:asciiTheme="minorHAnsi" w:hAnsiTheme="minorHAnsi" w:cstheme="minorHAnsi"/>
          <w:sz w:val="22"/>
          <w:szCs w:val="22"/>
        </w:rPr>
      </w:pPr>
      <w:r w:rsidRPr="003650DD">
        <w:rPr>
          <w:rFonts w:asciiTheme="minorHAnsi" w:hAnsiTheme="minorHAnsi" w:cstheme="minorHAnsi"/>
          <w:sz w:val="22"/>
          <w:szCs w:val="22"/>
        </w:rPr>
        <w:t>Travel costs</w:t>
      </w:r>
      <w:r w:rsidR="003650DD">
        <w:rPr>
          <w:rFonts w:asciiTheme="minorHAnsi" w:hAnsiTheme="minorHAnsi" w:cstheme="minorHAnsi"/>
          <w:sz w:val="22"/>
          <w:szCs w:val="22"/>
        </w:rPr>
        <w:t>.</w:t>
      </w:r>
    </w:p>
    <w:p w14:paraId="732DD45D" w14:textId="77777777" w:rsidR="00B32F91" w:rsidRPr="00EA1E6B" w:rsidRDefault="00B32F91" w:rsidP="00FD4FFC">
      <w:pPr>
        <w:rPr>
          <w:rFonts w:ascii="Arial" w:hAnsi="Arial" w:cs="Arial"/>
        </w:rPr>
      </w:pPr>
    </w:p>
    <w:bookmarkEnd w:id="8"/>
    <w:p w14:paraId="4038EF91" w14:textId="77777777" w:rsidR="00B32F91" w:rsidRPr="00EA1E6B" w:rsidRDefault="00B32F91" w:rsidP="00550F48">
      <w:pPr>
        <w:rPr>
          <w:rFonts w:ascii="Arial" w:hAnsi="Arial" w:cs="Arial"/>
          <w:color w:val="000000" w:themeColor="text1"/>
          <w:sz w:val="36"/>
          <w:szCs w:val="36"/>
          <w:lang w:val="en-IE"/>
        </w:rPr>
      </w:pPr>
    </w:p>
    <w:p w14:paraId="634B6A36" w14:textId="77777777" w:rsidR="00B32F91" w:rsidRDefault="00B32F91" w:rsidP="00550F48">
      <w:pPr>
        <w:rPr>
          <w:color w:val="000000" w:themeColor="text1"/>
          <w:sz w:val="36"/>
          <w:szCs w:val="36"/>
          <w:lang w:val="en-IE"/>
        </w:rPr>
      </w:pPr>
    </w:p>
    <w:p w14:paraId="5F367FF8" w14:textId="77777777" w:rsidR="00B32F91" w:rsidRDefault="00B32F91" w:rsidP="00550F48">
      <w:pPr>
        <w:rPr>
          <w:color w:val="000000" w:themeColor="text1"/>
          <w:sz w:val="36"/>
          <w:szCs w:val="36"/>
          <w:lang w:val="en-IE"/>
        </w:rPr>
      </w:pPr>
    </w:p>
    <w:p w14:paraId="48D82B94" w14:textId="77777777" w:rsidR="00B32F91" w:rsidRDefault="00B32F91" w:rsidP="00550F48">
      <w:pPr>
        <w:rPr>
          <w:color w:val="000000" w:themeColor="text1"/>
          <w:sz w:val="36"/>
          <w:szCs w:val="36"/>
          <w:lang w:val="en-IE"/>
        </w:rPr>
      </w:pPr>
    </w:p>
    <w:p w14:paraId="280CA87B" w14:textId="77777777" w:rsidR="00B32F91" w:rsidRDefault="00B32F91">
      <w:pPr>
        <w:rPr>
          <w:rFonts w:asciiTheme="majorHAnsi" w:eastAsia="Times New Roman" w:hAnsiTheme="majorHAnsi" w:cstheme="majorBidi"/>
          <w:color w:val="2F5496" w:themeColor="accent1" w:themeShade="BF"/>
          <w:sz w:val="36"/>
          <w:szCs w:val="36"/>
          <w:lang w:val="en-IE" w:eastAsia="en-IE"/>
        </w:rPr>
      </w:pPr>
    </w:p>
    <w:p w14:paraId="790351E4" w14:textId="77777777" w:rsidR="00EA1E6B" w:rsidRDefault="00EA1E6B">
      <w:pPr>
        <w:rPr>
          <w:rFonts w:asciiTheme="majorHAnsi" w:eastAsia="Times New Roman" w:hAnsiTheme="majorHAnsi" w:cstheme="majorBidi"/>
          <w:color w:val="2F5496" w:themeColor="accent1" w:themeShade="BF"/>
          <w:sz w:val="36"/>
          <w:szCs w:val="36"/>
          <w:lang w:val="en-IE" w:eastAsia="en-IE"/>
        </w:rPr>
      </w:pPr>
    </w:p>
    <w:p w14:paraId="6008C784" w14:textId="77777777" w:rsidR="00EA1E6B" w:rsidRDefault="00EA1E6B">
      <w:pPr>
        <w:rPr>
          <w:rFonts w:asciiTheme="majorHAnsi" w:eastAsia="Times New Roman" w:hAnsiTheme="majorHAnsi" w:cstheme="majorBidi"/>
          <w:color w:val="2F5496" w:themeColor="accent1" w:themeShade="BF"/>
          <w:sz w:val="36"/>
          <w:szCs w:val="36"/>
          <w:lang w:val="en-IE" w:eastAsia="en-IE"/>
        </w:rPr>
      </w:pPr>
    </w:p>
    <w:p w14:paraId="29D78C9E" w14:textId="77777777" w:rsidR="00EA1E6B" w:rsidRDefault="00EA1E6B">
      <w:pPr>
        <w:rPr>
          <w:rFonts w:asciiTheme="majorHAnsi" w:eastAsia="Times New Roman" w:hAnsiTheme="majorHAnsi" w:cstheme="majorBidi"/>
          <w:color w:val="2F5496" w:themeColor="accent1" w:themeShade="BF"/>
          <w:sz w:val="36"/>
          <w:szCs w:val="36"/>
          <w:lang w:val="en-IE" w:eastAsia="en-IE"/>
        </w:rPr>
      </w:pPr>
    </w:p>
    <w:p w14:paraId="504677A3" w14:textId="77777777" w:rsidR="00EA1E6B" w:rsidRDefault="00EA1E6B">
      <w:pPr>
        <w:rPr>
          <w:rFonts w:asciiTheme="majorHAnsi" w:eastAsia="Times New Roman" w:hAnsiTheme="majorHAnsi" w:cstheme="majorBidi"/>
          <w:color w:val="2F5496" w:themeColor="accent1" w:themeShade="BF"/>
          <w:sz w:val="36"/>
          <w:szCs w:val="36"/>
          <w:lang w:val="en-IE" w:eastAsia="en-IE"/>
        </w:rPr>
      </w:pPr>
    </w:p>
    <w:p w14:paraId="597420AD" w14:textId="77777777" w:rsidR="00EA1E6B" w:rsidRPr="00EA1E6B" w:rsidRDefault="00EA1E6B" w:rsidP="00EA1E6B">
      <w:pPr>
        <w:pStyle w:val="Heading2"/>
        <w:rPr>
          <w:lang w:val="en-IE" w:eastAsia="en-IE"/>
        </w:rPr>
      </w:pPr>
    </w:p>
    <w:p w14:paraId="08A836C0" w14:textId="77777777" w:rsidR="00B32F91" w:rsidRPr="003650DD" w:rsidRDefault="00B32F91" w:rsidP="00EA1E6B">
      <w:pPr>
        <w:pStyle w:val="Heading2"/>
        <w:rPr>
          <w:rFonts w:asciiTheme="majorHAnsi" w:hAnsiTheme="majorHAnsi" w:cstheme="majorHAnsi"/>
          <w:color w:val="2F5496" w:themeColor="accent1" w:themeShade="BF"/>
          <w:lang w:val="en-IE" w:eastAsia="en-IE"/>
        </w:rPr>
      </w:pPr>
      <w:bookmarkStart w:id="9" w:name="_Appendix_5:_"/>
      <w:bookmarkEnd w:id="9"/>
      <w:r w:rsidRPr="003650DD">
        <w:rPr>
          <w:rFonts w:asciiTheme="majorHAnsi" w:hAnsiTheme="majorHAnsi" w:cstheme="majorHAnsi"/>
          <w:color w:val="2F5496" w:themeColor="accent1" w:themeShade="BF"/>
          <w:lang w:val="en-IE" w:eastAsia="en-IE"/>
        </w:rPr>
        <w:t>Appendix 5:  Small Strategic Consultancy</w:t>
      </w:r>
    </w:p>
    <w:p w14:paraId="384922D7" w14:textId="04404EF9" w:rsidR="00B32F91" w:rsidRPr="00F26B3E" w:rsidRDefault="00B32F91" w:rsidP="000E1AB8">
      <w:pPr>
        <w:textAlignment w:val="baseline"/>
        <w:rPr>
          <w:rFonts w:asciiTheme="minorHAnsi" w:eastAsia="Times New Roman" w:hAnsiTheme="minorHAnsi" w:cstheme="minorHAnsi"/>
          <w:sz w:val="22"/>
          <w:szCs w:val="22"/>
          <w:lang w:eastAsia="en-IE"/>
        </w:rPr>
      </w:pPr>
      <w:r w:rsidRPr="00F26B3E">
        <w:rPr>
          <w:rFonts w:asciiTheme="minorHAnsi" w:eastAsia="Times New Roman" w:hAnsiTheme="minorHAnsi" w:cstheme="minorHAnsi"/>
          <w:sz w:val="22"/>
          <w:szCs w:val="22"/>
          <w:lang w:val="en-IE" w:eastAsia="en-IE"/>
        </w:rPr>
        <w:t>Support to assist companies to address</w:t>
      </w:r>
      <w:r w:rsidRPr="00F26B3E">
        <w:rPr>
          <w:rFonts w:asciiTheme="minorHAnsi" w:eastAsia="Times New Roman" w:hAnsiTheme="minorHAnsi" w:cstheme="minorHAnsi"/>
          <w:sz w:val="22"/>
          <w:szCs w:val="22"/>
          <w:lang w:eastAsia="en-IE"/>
        </w:rPr>
        <w:t> both strategic and short-term tactical challenges where a business need has been identified which is not addressed by other Project Options</w:t>
      </w:r>
      <w:r w:rsidR="00F26B3E" w:rsidRPr="00F26B3E">
        <w:rPr>
          <w:rFonts w:asciiTheme="minorHAnsi" w:eastAsia="Times New Roman" w:hAnsiTheme="minorHAnsi" w:cstheme="minorHAnsi"/>
          <w:sz w:val="22"/>
          <w:szCs w:val="22"/>
          <w:lang w:eastAsia="en-IE"/>
        </w:rPr>
        <w:t>.</w:t>
      </w:r>
    </w:p>
    <w:p w14:paraId="68CA69B2" w14:textId="77777777" w:rsidR="00B32F91" w:rsidRPr="00EA1E6B" w:rsidRDefault="00B32F91" w:rsidP="000E1AB8">
      <w:pPr>
        <w:textAlignment w:val="baseline"/>
        <w:rPr>
          <w:rFonts w:ascii="Arial" w:eastAsia="Times New Roman" w:hAnsi="Arial" w:cs="Arial"/>
          <w:sz w:val="22"/>
          <w:szCs w:val="22"/>
          <w:lang w:eastAsia="en-IE"/>
        </w:rPr>
      </w:pPr>
    </w:p>
    <w:p w14:paraId="3845B877" w14:textId="77777777" w:rsidR="00B32F91" w:rsidRPr="00F26B3E" w:rsidRDefault="00B32F91" w:rsidP="005E707C">
      <w:pPr>
        <w:pStyle w:val="ListParagraph"/>
        <w:keepNext/>
        <w:keepLines/>
        <w:spacing w:before="40"/>
        <w:ind w:left="360"/>
        <w:outlineLvl w:val="1"/>
        <w:rPr>
          <w:rFonts w:asciiTheme="majorHAnsi" w:eastAsiaTheme="majorEastAsia" w:hAnsiTheme="majorHAnsi" w:cstheme="majorHAnsi"/>
          <w:color w:val="2F5496" w:themeColor="accent1" w:themeShade="BF"/>
          <w:sz w:val="26"/>
          <w:szCs w:val="26"/>
        </w:rPr>
      </w:pPr>
      <w:r w:rsidRPr="00F26B3E">
        <w:rPr>
          <w:rFonts w:asciiTheme="majorHAnsi" w:eastAsiaTheme="majorEastAsia" w:hAnsiTheme="majorHAnsi" w:cstheme="majorHAnsi"/>
          <w:color w:val="2F5496" w:themeColor="accent1" w:themeShade="BF"/>
          <w:sz w:val="26"/>
          <w:szCs w:val="26"/>
        </w:rPr>
        <w:t>Eligible Project/Activities</w:t>
      </w:r>
    </w:p>
    <w:p w14:paraId="65C28F29" w14:textId="77777777" w:rsidR="00B32F91" w:rsidRPr="00B006FE" w:rsidRDefault="00B32F91" w:rsidP="0032274B">
      <w:pPr>
        <w:rPr>
          <w:rFonts w:asciiTheme="minorHAnsi" w:hAnsiTheme="minorHAnsi" w:cstheme="minorHAnsi"/>
          <w:sz w:val="22"/>
          <w:szCs w:val="22"/>
        </w:rPr>
      </w:pPr>
      <w:r w:rsidRPr="00B006FE">
        <w:rPr>
          <w:rFonts w:asciiTheme="minorHAnsi" w:hAnsiTheme="minorHAnsi" w:cstheme="minorHAnsi"/>
          <w:sz w:val="22"/>
          <w:szCs w:val="22"/>
        </w:rPr>
        <w:t xml:space="preserve">Eligible projects may include advisory services </w:t>
      </w:r>
      <w:proofErr w:type="gramStart"/>
      <w:r w:rsidRPr="00B006FE">
        <w:rPr>
          <w:rFonts w:asciiTheme="minorHAnsi" w:hAnsiTheme="minorHAnsi" w:cstheme="minorHAnsi"/>
          <w:sz w:val="22"/>
          <w:szCs w:val="22"/>
        </w:rPr>
        <w:t>on;</w:t>
      </w:r>
      <w:proofErr w:type="gramEnd"/>
      <w:r w:rsidRPr="00B006FE">
        <w:rPr>
          <w:rFonts w:asciiTheme="minorHAnsi" w:hAnsiTheme="minorHAnsi" w:cstheme="minorHAnsi"/>
          <w:sz w:val="22"/>
          <w:szCs w:val="22"/>
        </w:rPr>
        <w:t xml:space="preserve"> </w:t>
      </w:r>
    </w:p>
    <w:p w14:paraId="73FB013E" w14:textId="77777777" w:rsidR="00B32F91" w:rsidRPr="00B006FE" w:rsidRDefault="00B32F91" w:rsidP="00B32F91">
      <w:pPr>
        <w:pStyle w:val="ListParagraph"/>
        <w:numPr>
          <w:ilvl w:val="0"/>
          <w:numId w:val="43"/>
        </w:numPr>
        <w:spacing w:line="264" w:lineRule="auto"/>
        <w:textAlignment w:val="baseline"/>
        <w:rPr>
          <w:rFonts w:asciiTheme="minorHAnsi" w:eastAsia="Times New Roman" w:hAnsiTheme="minorHAnsi" w:cstheme="minorHAnsi"/>
          <w:sz w:val="22"/>
          <w:szCs w:val="22"/>
          <w:lang w:val="en-IE" w:eastAsia="en-IE"/>
        </w:rPr>
      </w:pPr>
      <w:r w:rsidRPr="00B006FE">
        <w:rPr>
          <w:rFonts w:asciiTheme="minorHAnsi" w:eastAsia="Times New Roman" w:hAnsiTheme="minorHAnsi" w:cstheme="minorHAnsi"/>
          <w:sz w:val="22"/>
          <w:szCs w:val="22"/>
          <w:lang w:val="en-IE" w:eastAsia="en-IE"/>
        </w:rPr>
        <w:t>Addressing advisory/planning need in relation to matter of key strategic significance to the company such as Organisational Development, Strategic Finance/Planning, Growth Strategy Development.</w:t>
      </w:r>
    </w:p>
    <w:p w14:paraId="5C87C4ED" w14:textId="3D994557" w:rsidR="00B32F91" w:rsidRPr="00B006FE" w:rsidRDefault="00B32F91" w:rsidP="00B006FE">
      <w:pPr>
        <w:pStyle w:val="ListParagraph"/>
        <w:numPr>
          <w:ilvl w:val="0"/>
          <w:numId w:val="43"/>
        </w:numPr>
        <w:adjustRightInd w:val="0"/>
        <w:snapToGrid w:val="0"/>
        <w:spacing w:before="120" w:after="120" w:line="259" w:lineRule="auto"/>
        <w:jc w:val="both"/>
        <w:rPr>
          <w:rFonts w:asciiTheme="minorHAnsi" w:hAnsiTheme="minorHAnsi" w:cstheme="minorHAnsi"/>
          <w:sz w:val="22"/>
          <w:szCs w:val="22"/>
        </w:rPr>
      </w:pPr>
      <w:r w:rsidRPr="00B006FE">
        <w:rPr>
          <w:rFonts w:asciiTheme="minorHAnsi" w:hAnsiTheme="minorHAnsi" w:cstheme="minorHAnsi"/>
          <w:bCs/>
          <w:sz w:val="22"/>
          <w:szCs w:val="22"/>
        </w:rPr>
        <w:t>Market research</w:t>
      </w:r>
      <w:r w:rsidRPr="00B006FE">
        <w:rPr>
          <w:rFonts w:asciiTheme="minorHAnsi" w:hAnsiTheme="minorHAnsi" w:cstheme="minorHAnsi"/>
          <w:sz w:val="22"/>
          <w:szCs w:val="22"/>
        </w:rPr>
        <w:t xml:space="preserve"> to develop viable and sustainable market entry strategies </w:t>
      </w:r>
      <w:r w:rsidRPr="00B006FE">
        <w:rPr>
          <w:rFonts w:asciiTheme="minorHAnsi" w:hAnsiTheme="minorHAnsi" w:cstheme="minorHAnsi"/>
          <w:b/>
          <w:bCs/>
          <w:sz w:val="22"/>
          <w:szCs w:val="22"/>
        </w:rPr>
        <w:t xml:space="preserve">only </w:t>
      </w:r>
      <w:r w:rsidRPr="00B006FE">
        <w:rPr>
          <w:rFonts w:asciiTheme="minorHAnsi" w:hAnsiTheme="minorHAnsi" w:cstheme="minorHAnsi"/>
          <w:sz w:val="22"/>
          <w:szCs w:val="22"/>
        </w:rPr>
        <w:t>where companies</w:t>
      </w:r>
      <w:r w:rsidR="00B006FE" w:rsidRPr="00B006FE">
        <w:rPr>
          <w:rFonts w:asciiTheme="minorHAnsi" w:hAnsiTheme="minorHAnsi" w:cstheme="minorHAnsi"/>
          <w:sz w:val="22"/>
          <w:szCs w:val="22"/>
        </w:rPr>
        <w:t xml:space="preserve"> </w:t>
      </w:r>
      <w:r w:rsidRPr="00B006FE">
        <w:rPr>
          <w:rFonts w:asciiTheme="minorHAnsi" w:hAnsiTheme="minorHAnsi" w:cstheme="minorHAnsi"/>
          <w:sz w:val="22"/>
          <w:szCs w:val="22"/>
        </w:rPr>
        <w:t xml:space="preserve">are looking at either a new geographic market for an existing product/service or an existing geographic market for a new product/service </w:t>
      </w:r>
      <w:r w:rsidRPr="00B006FE">
        <w:rPr>
          <w:rFonts w:asciiTheme="minorHAnsi" w:hAnsiTheme="minorHAnsi" w:cstheme="minorHAnsi"/>
          <w:b/>
          <w:bCs/>
          <w:sz w:val="22"/>
          <w:szCs w:val="22"/>
        </w:rPr>
        <w:t>and</w:t>
      </w:r>
      <w:r w:rsidRPr="00B006FE">
        <w:rPr>
          <w:rFonts w:asciiTheme="minorHAnsi" w:hAnsiTheme="minorHAnsi" w:cstheme="minorHAnsi"/>
          <w:sz w:val="22"/>
          <w:szCs w:val="22"/>
        </w:rPr>
        <w:t xml:space="preserve"> </w:t>
      </w:r>
      <w:r w:rsidRPr="00B006FE">
        <w:rPr>
          <w:rFonts w:asciiTheme="minorHAnsi" w:hAnsiTheme="minorHAnsi" w:cstheme="minorHAnsi"/>
          <w:b/>
          <w:bCs/>
          <w:sz w:val="22"/>
          <w:szCs w:val="22"/>
        </w:rPr>
        <w:t>precludes in all cases implementation activities</w:t>
      </w:r>
      <w:r w:rsidRPr="00B006FE">
        <w:rPr>
          <w:rFonts w:asciiTheme="minorHAnsi" w:hAnsiTheme="minorHAnsi" w:cstheme="minorHAnsi"/>
          <w:sz w:val="22"/>
          <w:szCs w:val="22"/>
        </w:rPr>
        <w:t>.</w:t>
      </w:r>
    </w:p>
    <w:p w14:paraId="5F9A8E30" w14:textId="77777777" w:rsidR="00B32F91" w:rsidRPr="00F26B3E" w:rsidRDefault="00B32F91" w:rsidP="000D7F78">
      <w:pPr>
        <w:textAlignment w:val="baseline"/>
        <w:rPr>
          <w:rFonts w:asciiTheme="majorHAnsi" w:eastAsia="Times New Roman" w:hAnsiTheme="majorHAnsi" w:cstheme="majorHAnsi"/>
          <w:lang w:val="en-IE" w:eastAsia="en-IE"/>
        </w:rPr>
      </w:pPr>
    </w:p>
    <w:p w14:paraId="474DBC53" w14:textId="77777777" w:rsidR="00B32F91" w:rsidRPr="00F26B3E" w:rsidRDefault="00B32F91" w:rsidP="005E707C">
      <w:pPr>
        <w:pStyle w:val="ListParagraph"/>
        <w:keepNext/>
        <w:keepLines/>
        <w:spacing w:before="40"/>
        <w:ind w:left="360"/>
        <w:outlineLvl w:val="1"/>
        <w:rPr>
          <w:rFonts w:asciiTheme="majorHAnsi" w:eastAsiaTheme="majorEastAsia" w:hAnsiTheme="majorHAnsi" w:cstheme="majorHAnsi"/>
          <w:color w:val="2F5496" w:themeColor="accent1" w:themeShade="BF"/>
          <w:sz w:val="26"/>
          <w:szCs w:val="26"/>
        </w:rPr>
      </w:pPr>
      <w:r w:rsidRPr="00F26B3E">
        <w:rPr>
          <w:rFonts w:asciiTheme="majorHAnsi" w:eastAsiaTheme="majorEastAsia" w:hAnsiTheme="majorHAnsi" w:cstheme="majorHAnsi"/>
          <w:color w:val="2F5496" w:themeColor="accent1" w:themeShade="BF"/>
          <w:sz w:val="26"/>
          <w:szCs w:val="26"/>
        </w:rPr>
        <w:t>Ineligible Project/Activities</w:t>
      </w:r>
    </w:p>
    <w:p w14:paraId="0C3EA3C8" w14:textId="579CA103" w:rsidR="00B32F91" w:rsidRPr="00B006FE" w:rsidRDefault="00B32F91" w:rsidP="00B006FE">
      <w:pPr>
        <w:pStyle w:val="ListParagraph"/>
        <w:numPr>
          <w:ilvl w:val="0"/>
          <w:numId w:val="56"/>
        </w:numPr>
        <w:spacing w:line="264" w:lineRule="auto"/>
        <w:textAlignment w:val="baseline"/>
        <w:rPr>
          <w:rFonts w:asciiTheme="minorHAnsi" w:eastAsia="Times New Roman" w:hAnsiTheme="minorHAnsi" w:cstheme="minorHAnsi"/>
          <w:sz w:val="22"/>
          <w:szCs w:val="22"/>
          <w:lang w:eastAsia="en-IE"/>
        </w:rPr>
      </w:pPr>
      <w:r w:rsidRPr="00B006FE">
        <w:rPr>
          <w:rFonts w:asciiTheme="minorHAnsi" w:eastAsia="Times New Roman" w:hAnsiTheme="minorHAnsi" w:cstheme="minorHAnsi"/>
          <w:sz w:val="22"/>
          <w:szCs w:val="22"/>
          <w:lang w:eastAsia="en-IE"/>
        </w:rPr>
        <w:t>Consultants/advisory services engaged as an integral component of a training or R&amp;D project. (There are other specific programmes available in these instances)</w:t>
      </w:r>
      <w:r w:rsidR="00B006FE">
        <w:rPr>
          <w:rFonts w:asciiTheme="minorHAnsi" w:eastAsia="Times New Roman" w:hAnsiTheme="minorHAnsi" w:cstheme="minorHAnsi"/>
          <w:sz w:val="22"/>
          <w:szCs w:val="22"/>
          <w:lang w:eastAsia="en-IE"/>
        </w:rPr>
        <w:t>.</w:t>
      </w:r>
    </w:p>
    <w:p w14:paraId="5A1DEB26" w14:textId="2AE94F60" w:rsidR="00B32F91" w:rsidRPr="00B006FE" w:rsidRDefault="00B32F91" w:rsidP="00B006FE">
      <w:pPr>
        <w:pStyle w:val="ListParagraph"/>
        <w:numPr>
          <w:ilvl w:val="0"/>
          <w:numId w:val="56"/>
        </w:numPr>
        <w:spacing w:line="264" w:lineRule="auto"/>
        <w:textAlignment w:val="baseline"/>
        <w:rPr>
          <w:rFonts w:asciiTheme="minorHAnsi" w:eastAsia="Times New Roman" w:hAnsiTheme="minorHAnsi" w:cstheme="minorHAnsi"/>
          <w:sz w:val="22"/>
          <w:szCs w:val="22"/>
          <w:lang w:eastAsia="en-IE"/>
        </w:rPr>
      </w:pPr>
      <w:r w:rsidRPr="00B006FE">
        <w:rPr>
          <w:rFonts w:asciiTheme="minorHAnsi" w:eastAsia="Times New Roman" w:hAnsiTheme="minorHAnsi" w:cstheme="minorHAnsi"/>
          <w:sz w:val="22"/>
          <w:szCs w:val="22"/>
          <w:lang w:eastAsia="en-IE"/>
        </w:rPr>
        <w:t>IP related challenges</w:t>
      </w:r>
      <w:r w:rsidR="00903C62">
        <w:rPr>
          <w:rFonts w:asciiTheme="minorHAnsi" w:eastAsia="Times New Roman" w:hAnsiTheme="minorHAnsi" w:cstheme="minorHAnsi"/>
          <w:sz w:val="22"/>
          <w:szCs w:val="22"/>
          <w:lang w:eastAsia="en-IE"/>
        </w:rPr>
        <w:t>.</w:t>
      </w:r>
    </w:p>
    <w:p w14:paraId="48D2F32F" w14:textId="5BD9A64E" w:rsidR="00B32F91" w:rsidRPr="00B006FE" w:rsidRDefault="00B32F91" w:rsidP="00B006FE">
      <w:pPr>
        <w:pStyle w:val="ListParagraph"/>
        <w:numPr>
          <w:ilvl w:val="0"/>
          <w:numId w:val="56"/>
        </w:numPr>
        <w:spacing w:line="264" w:lineRule="auto"/>
        <w:textAlignment w:val="baseline"/>
        <w:rPr>
          <w:rFonts w:asciiTheme="minorHAnsi" w:eastAsia="Times New Roman" w:hAnsiTheme="minorHAnsi" w:cstheme="minorHAnsi"/>
          <w:bCs/>
          <w:sz w:val="22"/>
          <w:szCs w:val="22"/>
          <w:lang w:eastAsia="en-IE"/>
        </w:rPr>
      </w:pPr>
      <w:r w:rsidRPr="00B006FE">
        <w:rPr>
          <w:rFonts w:asciiTheme="minorHAnsi" w:hAnsiTheme="minorHAnsi" w:cstheme="minorHAnsi"/>
          <w:bCs/>
          <w:sz w:val="22"/>
          <w:szCs w:val="22"/>
        </w:rPr>
        <w:t>Sales and Marketing activities</w:t>
      </w:r>
      <w:r w:rsidR="00903C62">
        <w:rPr>
          <w:rFonts w:asciiTheme="minorHAnsi" w:hAnsiTheme="minorHAnsi" w:cstheme="minorHAnsi"/>
          <w:bCs/>
          <w:sz w:val="22"/>
          <w:szCs w:val="22"/>
        </w:rPr>
        <w:t>.</w:t>
      </w:r>
    </w:p>
    <w:p w14:paraId="5FC83EDE" w14:textId="47CDDD7F" w:rsidR="00B32F91" w:rsidRPr="00B006FE" w:rsidRDefault="00B32F91" w:rsidP="00B006FE">
      <w:pPr>
        <w:pStyle w:val="ListParagraph"/>
        <w:numPr>
          <w:ilvl w:val="0"/>
          <w:numId w:val="56"/>
        </w:numPr>
        <w:spacing w:line="264" w:lineRule="auto"/>
        <w:textAlignment w:val="baseline"/>
        <w:rPr>
          <w:rFonts w:asciiTheme="minorHAnsi" w:eastAsia="Times New Roman" w:hAnsiTheme="minorHAnsi" w:cstheme="minorHAnsi"/>
          <w:sz w:val="22"/>
          <w:szCs w:val="22"/>
          <w:lang w:eastAsia="en-IE"/>
        </w:rPr>
      </w:pPr>
      <w:r w:rsidRPr="00B006FE">
        <w:rPr>
          <w:rFonts w:asciiTheme="minorHAnsi" w:eastAsia="Times New Roman" w:hAnsiTheme="minorHAnsi" w:cstheme="minorHAnsi"/>
          <w:sz w:val="22"/>
          <w:szCs w:val="22"/>
          <w:lang w:eastAsia="en-IE"/>
        </w:rPr>
        <w:t>The costs of consultants hired for continuous or routine consultancy activities such as legal, financial and PR</w:t>
      </w:r>
      <w:r w:rsidR="00903C62">
        <w:rPr>
          <w:rFonts w:asciiTheme="minorHAnsi" w:eastAsia="Times New Roman" w:hAnsiTheme="minorHAnsi" w:cstheme="minorHAnsi"/>
          <w:sz w:val="22"/>
          <w:szCs w:val="22"/>
          <w:lang w:eastAsia="en-IE"/>
        </w:rPr>
        <w:t>.</w:t>
      </w:r>
    </w:p>
    <w:p w14:paraId="2020C0F6" w14:textId="3FB71ED6" w:rsidR="00B32F91" w:rsidRPr="00B006FE" w:rsidRDefault="00B32F91" w:rsidP="00B006FE">
      <w:pPr>
        <w:pStyle w:val="ListParagraph"/>
        <w:numPr>
          <w:ilvl w:val="0"/>
          <w:numId w:val="56"/>
        </w:numPr>
        <w:spacing w:line="264" w:lineRule="auto"/>
        <w:textAlignment w:val="baseline"/>
        <w:rPr>
          <w:rFonts w:asciiTheme="minorHAnsi" w:eastAsia="Times New Roman" w:hAnsiTheme="minorHAnsi" w:cstheme="minorHAnsi"/>
          <w:sz w:val="22"/>
          <w:szCs w:val="22"/>
          <w:lang w:eastAsia="en-IE"/>
        </w:rPr>
      </w:pPr>
      <w:r w:rsidRPr="00B006FE">
        <w:rPr>
          <w:rFonts w:asciiTheme="minorHAnsi" w:eastAsia="Times New Roman" w:hAnsiTheme="minorHAnsi" w:cstheme="minorHAnsi"/>
          <w:sz w:val="22"/>
          <w:szCs w:val="22"/>
          <w:lang w:eastAsia="en-IE"/>
        </w:rPr>
        <w:t>Subsidising regular operating expenses</w:t>
      </w:r>
      <w:r w:rsidR="00903C62">
        <w:rPr>
          <w:rFonts w:asciiTheme="minorHAnsi" w:eastAsia="Times New Roman" w:hAnsiTheme="minorHAnsi" w:cstheme="minorHAnsi"/>
          <w:sz w:val="22"/>
          <w:szCs w:val="22"/>
          <w:lang w:eastAsia="en-IE"/>
        </w:rPr>
        <w:t>.</w:t>
      </w:r>
    </w:p>
    <w:p w14:paraId="23976FF1" w14:textId="77777777" w:rsidR="00B32F91" w:rsidRPr="00B006FE" w:rsidRDefault="00B32F91" w:rsidP="00180926">
      <w:pPr>
        <w:textAlignment w:val="baseline"/>
        <w:rPr>
          <w:rFonts w:asciiTheme="minorHAnsi" w:eastAsia="Times New Roman" w:hAnsiTheme="minorHAnsi" w:cstheme="minorHAnsi"/>
          <w:lang w:eastAsia="en-IE"/>
        </w:rPr>
      </w:pPr>
    </w:p>
    <w:p w14:paraId="03AE2A79" w14:textId="77777777" w:rsidR="00B32F91" w:rsidRDefault="00B32F91">
      <w:pPr>
        <w:rPr>
          <w:rFonts w:eastAsia="Times New Roman"/>
          <w:lang w:eastAsia="en-IE"/>
        </w:rPr>
      </w:pPr>
      <w:r>
        <w:rPr>
          <w:rFonts w:eastAsia="Times New Roman"/>
          <w:lang w:eastAsia="en-IE"/>
        </w:rPr>
        <w:br w:type="page"/>
      </w:r>
    </w:p>
    <w:p w14:paraId="4BA02718" w14:textId="77777777" w:rsidR="00B32F91" w:rsidRPr="00903C62" w:rsidRDefault="00B32F91" w:rsidP="005E707C">
      <w:pPr>
        <w:pStyle w:val="Heading2"/>
        <w:rPr>
          <w:rFonts w:asciiTheme="majorHAnsi" w:hAnsiTheme="majorHAnsi" w:cstheme="majorHAnsi"/>
          <w:color w:val="2F5496" w:themeColor="accent1" w:themeShade="BF"/>
          <w:lang w:val="en-IE" w:eastAsia="en-IE"/>
        </w:rPr>
      </w:pPr>
      <w:bookmarkStart w:id="10" w:name="_Appendix_6:_Housing"/>
      <w:bookmarkEnd w:id="10"/>
      <w:r w:rsidRPr="00903C62">
        <w:rPr>
          <w:rFonts w:asciiTheme="majorHAnsi" w:hAnsiTheme="majorHAnsi" w:cstheme="majorHAnsi"/>
          <w:color w:val="2F5496" w:themeColor="accent1" w:themeShade="BF"/>
          <w:lang w:val="en-IE" w:eastAsia="en-IE"/>
        </w:rPr>
        <w:lastRenderedPageBreak/>
        <w:t xml:space="preserve">Appendix 6: Housing for </w:t>
      </w:r>
      <w:proofErr w:type="gramStart"/>
      <w:r w:rsidRPr="00903C62">
        <w:rPr>
          <w:rFonts w:asciiTheme="majorHAnsi" w:hAnsiTheme="majorHAnsi" w:cstheme="majorHAnsi"/>
          <w:color w:val="2F5496" w:themeColor="accent1" w:themeShade="BF"/>
          <w:lang w:val="en-IE" w:eastAsia="en-IE"/>
        </w:rPr>
        <w:t>All  -</w:t>
      </w:r>
      <w:proofErr w:type="gramEnd"/>
      <w:r w:rsidRPr="00903C62">
        <w:rPr>
          <w:rFonts w:asciiTheme="majorHAnsi" w:hAnsiTheme="majorHAnsi" w:cstheme="majorHAnsi"/>
          <w:color w:val="2F5496" w:themeColor="accent1" w:themeShade="BF"/>
          <w:lang w:val="en-IE" w:eastAsia="en-IE"/>
        </w:rPr>
        <w:t xml:space="preserve">  Access Advice:  Digital Discovery  &amp; Access Advice: Lean Start grant Eligibility Criteria</w:t>
      </w:r>
    </w:p>
    <w:p w14:paraId="5A0893F7" w14:textId="77777777" w:rsidR="00B32F91" w:rsidRPr="00B43997" w:rsidRDefault="00B32F91" w:rsidP="00FF47D8">
      <w:pPr>
        <w:spacing w:line="256" w:lineRule="auto"/>
        <w:jc w:val="center"/>
        <w:rPr>
          <w:rFonts w:cstheme="minorHAnsi"/>
          <w:b/>
          <w:bCs/>
        </w:rPr>
      </w:pPr>
    </w:p>
    <w:p w14:paraId="1621592D" w14:textId="77777777" w:rsidR="00B32F91" w:rsidRPr="00903C62" w:rsidRDefault="00B32F91" w:rsidP="00B32F91">
      <w:pPr>
        <w:numPr>
          <w:ilvl w:val="0"/>
          <w:numId w:val="31"/>
        </w:numPr>
        <w:spacing w:line="276" w:lineRule="auto"/>
        <w:contextualSpacing/>
        <w:jc w:val="both"/>
        <w:rPr>
          <w:rFonts w:asciiTheme="majorHAnsi" w:hAnsiTheme="majorHAnsi" w:cstheme="majorHAnsi"/>
          <w:b/>
          <w:bCs/>
          <w:color w:val="2F5496" w:themeColor="accent1" w:themeShade="BF"/>
          <w:sz w:val="22"/>
          <w:szCs w:val="22"/>
        </w:rPr>
      </w:pPr>
      <w:r w:rsidRPr="00903C62">
        <w:rPr>
          <w:rFonts w:asciiTheme="majorHAnsi" w:hAnsiTheme="majorHAnsi" w:cstheme="majorHAnsi"/>
          <w:b/>
          <w:bCs/>
          <w:color w:val="2F5496" w:themeColor="accent1" w:themeShade="BF"/>
          <w:sz w:val="22"/>
          <w:szCs w:val="22"/>
        </w:rPr>
        <w:t>Background and purpose of this Appendix:</w:t>
      </w:r>
    </w:p>
    <w:p w14:paraId="1866E326" w14:textId="77777777" w:rsidR="00B32F91" w:rsidRPr="00903C62" w:rsidRDefault="00B32F91" w:rsidP="00FF47D8">
      <w:pPr>
        <w:spacing w:line="276" w:lineRule="auto"/>
        <w:jc w:val="both"/>
        <w:rPr>
          <w:rFonts w:asciiTheme="minorHAnsi" w:hAnsiTheme="minorHAnsi" w:cstheme="minorHAnsi"/>
          <w:sz w:val="22"/>
          <w:szCs w:val="22"/>
        </w:rPr>
      </w:pPr>
      <w:r w:rsidRPr="00903C62">
        <w:rPr>
          <w:rFonts w:asciiTheme="minorHAnsi" w:hAnsiTheme="minorHAnsi" w:cstheme="minorHAnsi"/>
          <w:sz w:val="22"/>
          <w:szCs w:val="22"/>
        </w:rPr>
        <w:t>On September 2</w:t>
      </w:r>
      <w:r w:rsidRPr="00903C62">
        <w:rPr>
          <w:rFonts w:asciiTheme="minorHAnsi" w:hAnsiTheme="minorHAnsi" w:cstheme="minorHAnsi"/>
          <w:sz w:val="22"/>
          <w:szCs w:val="22"/>
          <w:vertAlign w:val="superscript"/>
        </w:rPr>
        <w:t>nd</w:t>
      </w:r>
      <w:r w:rsidRPr="00903C62">
        <w:rPr>
          <w:rFonts w:asciiTheme="minorHAnsi" w:hAnsiTheme="minorHAnsi" w:cstheme="minorHAnsi"/>
          <w:sz w:val="22"/>
          <w:szCs w:val="22"/>
        </w:rPr>
        <w:t xml:space="preserve">, 2021, the ‘Housing for All’ plan was announced by Government. Under Pathway five of the plan Enterprise Ireland has been tasked with providing productivity, innovation and research supports to the domestic residential construction industry. </w:t>
      </w:r>
    </w:p>
    <w:p w14:paraId="3E24ED70" w14:textId="77777777" w:rsidR="00B32F91" w:rsidRPr="00903C62" w:rsidRDefault="00B32F91" w:rsidP="00FF47D8">
      <w:pPr>
        <w:spacing w:line="276" w:lineRule="auto"/>
        <w:jc w:val="both"/>
        <w:rPr>
          <w:rFonts w:asciiTheme="minorHAnsi" w:hAnsiTheme="minorHAnsi" w:cstheme="minorHAnsi"/>
          <w:sz w:val="22"/>
          <w:szCs w:val="22"/>
        </w:rPr>
      </w:pPr>
      <w:r w:rsidRPr="00903C62">
        <w:rPr>
          <w:rFonts w:asciiTheme="minorHAnsi" w:hAnsiTheme="minorHAnsi" w:cstheme="minorHAnsi"/>
          <w:sz w:val="22"/>
          <w:szCs w:val="22"/>
        </w:rPr>
        <w:t xml:space="preserve">Action 23.4 reads </w:t>
      </w:r>
      <w:r w:rsidRPr="00903C62">
        <w:rPr>
          <w:rFonts w:asciiTheme="minorHAnsi" w:hAnsiTheme="minorHAnsi" w:cstheme="minorHAnsi"/>
          <w:i/>
          <w:iCs/>
          <w:sz w:val="22"/>
          <w:szCs w:val="22"/>
        </w:rPr>
        <w:t>“Expand the role of enterprise agencies to include funding and supports for innovation and productivity related projects in the domestic residential construction sector, with funding for research, innovation and productivity to be provided, commensurate with the scale of construction in the domestic economy and in compliance with State Aid rules.”</w:t>
      </w:r>
    </w:p>
    <w:p w14:paraId="29B5CA37" w14:textId="77777777" w:rsidR="00B32F91" w:rsidRPr="00903C62" w:rsidRDefault="00B32F91" w:rsidP="00FF47D8">
      <w:pPr>
        <w:spacing w:line="276" w:lineRule="auto"/>
        <w:jc w:val="both"/>
        <w:rPr>
          <w:rFonts w:asciiTheme="minorHAnsi" w:hAnsiTheme="minorHAnsi" w:cstheme="minorHAnsi"/>
          <w:sz w:val="22"/>
          <w:szCs w:val="22"/>
        </w:rPr>
      </w:pPr>
      <w:r w:rsidRPr="00903C62">
        <w:rPr>
          <w:rFonts w:asciiTheme="minorHAnsi" w:hAnsiTheme="minorHAnsi" w:cstheme="minorHAnsi"/>
          <w:sz w:val="22"/>
          <w:szCs w:val="22"/>
        </w:rPr>
        <w:t xml:space="preserve">Several existing Enterprise Ireland offers are being utilised to deliver on these actions.  This Appendix sets out the specific eligibility and other criteria required to make this </w:t>
      </w:r>
      <w:r w:rsidRPr="00903C62">
        <w:rPr>
          <w:rFonts w:asciiTheme="minorHAnsi" w:hAnsiTheme="minorHAnsi" w:cstheme="minorHAnsi"/>
          <w:color w:val="000000" w:themeColor="text1"/>
          <w:sz w:val="22"/>
          <w:szCs w:val="22"/>
        </w:rPr>
        <w:t xml:space="preserve">grant offer </w:t>
      </w:r>
      <w:r w:rsidRPr="00903C62">
        <w:rPr>
          <w:rFonts w:asciiTheme="minorHAnsi" w:hAnsiTheme="minorHAnsi" w:cstheme="minorHAnsi"/>
          <w:sz w:val="22"/>
          <w:szCs w:val="22"/>
        </w:rPr>
        <w:t xml:space="preserve">compatible with Housing for All. </w:t>
      </w:r>
    </w:p>
    <w:p w14:paraId="5BB4302C" w14:textId="77777777" w:rsidR="00EA1E6B" w:rsidRPr="00EA1E6B" w:rsidRDefault="00EA1E6B" w:rsidP="00FF47D8">
      <w:pPr>
        <w:spacing w:line="276" w:lineRule="auto"/>
        <w:jc w:val="both"/>
        <w:rPr>
          <w:rFonts w:ascii="Arial" w:hAnsi="Arial" w:cs="Arial"/>
          <w:sz w:val="22"/>
          <w:szCs w:val="22"/>
        </w:rPr>
      </w:pPr>
    </w:p>
    <w:p w14:paraId="3E1B625E" w14:textId="77777777" w:rsidR="00B32F91" w:rsidRPr="00903C62" w:rsidRDefault="00B32F91" w:rsidP="00FF47D8">
      <w:pPr>
        <w:spacing w:line="276" w:lineRule="auto"/>
        <w:jc w:val="both"/>
        <w:rPr>
          <w:rFonts w:asciiTheme="majorHAnsi" w:hAnsiTheme="majorHAnsi" w:cstheme="majorHAnsi"/>
          <w:b/>
          <w:bCs/>
          <w:color w:val="2F5496" w:themeColor="accent1" w:themeShade="BF"/>
          <w:sz w:val="22"/>
          <w:szCs w:val="22"/>
        </w:rPr>
      </w:pPr>
      <w:r w:rsidRPr="00903C62">
        <w:rPr>
          <w:rFonts w:asciiTheme="majorHAnsi" w:hAnsiTheme="majorHAnsi" w:cstheme="majorHAnsi"/>
          <w:b/>
          <w:bCs/>
          <w:color w:val="2F5496" w:themeColor="accent1" w:themeShade="BF"/>
          <w:sz w:val="22"/>
          <w:szCs w:val="22"/>
        </w:rPr>
        <w:t xml:space="preserve">2. Product Details </w:t>
      </w:r>
    </w:p>
    <w:p w14:paraId="3B998771" w14:textId="77777777" w:rsidR="00B32F91" w:rsidRPr="00903C62" w:rsidRDefault="00B32F91" w:rsidP="00FF47D8">
      <w:pPr>
        <w:spacing w:line="276" w:lineRule="auto"/>
        <w:jc w:val="both"/>
        <w:rPr>
          <w:rFonts w:asciiTheme="majorHAnsi" w:hAnsiTheme="majorHAnsi" w:cstheme="majorHAnsi"/>
          <w:b/>
          <w:bCs/>
          <w:color w:val="000000" w:themeColor="text1"/>
          <w:sz w:val="22"/>
          <w:szCs w:val="22"/>
        </w:rPr>
      </w:pPr>
      <w:r w:rsidRPr="00903C62">
        <w:rPr>
          <w:rFonts w:asciiTheme="majorHAnsi" w:hAnsiTheme="majorHAnsi" w:cstheme="majorHAnsi"/>
          <w:b/>
          <w:bCs/>
          <w:color w:val="2F5496" w:themeColor="accent1" w:themeShade="BF"/>
          <w:sz w:val="22"/>
          <w:szCs w:val="22"/>
        </w:rPr>
        <w:t>2.1 Funding, Including Eligible Expenditure and Ineligible Expenditure</w:t>
      </w:r>
    </w:p>
    <w:p w14:paraId="0BEDC4FC" w14:textId="77777777" w:rsidR="00B32F91" w:rsidRPr="00903C62" w:rsidRDefault="00B32F91" w:rsidP="00FF47D8">
      <w:pPr>
        <w:spacing w:line="276" w:lineRule="auto"/>
        <w:jc w:val="both"/>
        <w:rPr>
          <w:rFonts w:asciiTheme="minorHAnsi" w:hAnsiTheme="minorHAnsi" w:cstheme="minorHAnsi"/>
          <w:color w:val="000000" w:themeColor="text1"/>
          <w:sz w:val="22"/>
          <w:szCs w:val="22"/>
        </w:rPr>
      </w:pPr>
      <w:r w:rsidRPr="00903C62">
        <w:rPr>
          <w:rFonts w:asciiTheme="minorHAnsi" w:hAnsiTheme="minorHAnsi" w:cstheme="minorHAnsi"/>
          <w:color w:val="000000" w:themeColor="text1"/>
          <w:sz w:val="22"/>
          <w:szCs w:val="22"/>
        </w:rPr>
        <w:t>Applicants for the Housing for All Offer must meet the specific eligibility and other requirements for Access Advice: Digital Discovery &amp;/or Access Advice: Lean Start support in accordance with the Reference Document for that offer, subject to the additional specific criteria outlined in this Appendix. This includes all funding being awarded in accordance with the Legal and State Aid Frameworks that govern the grant.</w:t>
      </w:r>
    </w:p>
    <w:p w14:paraId="6229B888" w14:textId="77777777" w:rsidR="00903C62" w:rsidRPr="00EA1E6B" w:rsidRDefault="00903C62" w:rsidP="00FF47D8">
      <w:pPr>
        <w:spacing w:line="276" w:lineRule="auto"/>
        <w:jc w:val="both"/>
        <w:rPr>
          <w:rFonts w:ascii="Arial" w:hAnsi="Arial" w:cs="Arial"/>
          <w:color w:val="000000" w:themeColor="text1"/>
          <w:sz w:val="22"/>
          <w:szCs w:val="22"/>
        </w:rPr>
      </w:pPr>
    </w:p>
    <w:p w14:paraId="3BAA9D3D" w14:textId="77777777" w:rsidR="00B32F91" w:rsidRPr="00903C62" w:rsidRDefault="00B32F91" w:rsidP="00FF47D8">
      <w:pPr>
        <w:spacing w:line="276" w:lineRule="auto"/>
        <w:jc w:val="both"/>
        <w:rPr>
          <w:rFonts w:asciiTheme="majorHAnsi" w:hAnsiTheme="majorHAnsi" w:cstheme="majorHAnsi"/>
          <w:b/>
          <w:bCs/>
          <w:color w:val="000000" w:themeColor="text1"/>
          <w:sz w:val="22"/>
          <w:szCs w:val="22"/>
        </w:rPr>
      </w:pPr>
      <w:r w:rsidRPr="00903C62">
        <w:rPr>
          <w:rFonts w:asciiTheme="majorHAnsi" w:hAnsiTheme="majorHAnsi" w:cstheme="majorHAnsi"/>
          <w:b/>
          <w:bCs/>
          <w:color w:val="2F5496" w:themeColor="accent1" w:themeShade="BF"/>
          <w:sz w:val="22"/>
          <w:szCs w:val="22"/>
        </w:rPr>
        <w:t xml:space="preserve">2.2 Eligible Applicants and Ineligible Applicants </w:t>
      </w:r>
    </w:p>
    <w:p w14:paraId="1B5EEEA6" w14:textId="77777777" w:rsidR="00B32F91" w:rsidRPr="00903C62" w:rsidRDefault="00B32F91" w:rsidP="00FF47D8">
      <w:pPr>
        <w:spacing w:line="276" w:lineRule="auto"/>
        <w:jc w:val="both"/>
        <w:rPr>
          <w:rFonts w:asciiTheme="minorHAnsi" w:hAnsiTheme="minorHAnsi" w:cstheme="minorHAnsi"/>
          <w:i/>
          <w:iCs/>
          <w:color w:val="000000" w:themeColor="text1"/>
          <w:sz w:val="22"/>
          <w:szCs w:val="22"/>
        </w:rPr>
      </w:pPr>
      <w:r w:rsidRPr="00903C62">
        <w:rPr>
          <w:rFonts w:asciiTheme="minorHAnsi" w:hAnsiTheme="minorHAnsi" w:cstheme="minorHAnsi"/>
          <w:color w:val="000000" w:themeColor="text1"/>
          <w:sz w:val="22"/>
          <w:szCs w:val="22"/>
        </w:rPr>
        <w:t xml:space="preserve">In addition to the established eligibility criteria for the Access Advice: Digital Discovery &amp; Access Advice: Lean Start grant, the offer is also available to companies who qualify for Enterprise Ireland’s </w:t>
      </w:r>
      <w:r w:rsidRPr="00903C62">
        <w:rPr>
          <w:rFonts w:asciiTheme="minorHAnsi" w:hAnsiTheme="minorHAnsi" w:cstheme="minorHAnsi"/>
          <w:i/>
          <w:iCs/>
          <w:color w:val="000000" w:themeColor="text1"/>
          <w:sz w:val="22"/>
          <w:szCs w:val="22"/>
        </w:rPr>
        <w:t xml:space="preserve">Housing for All Offer.  </w:t>
      </w:r>
    </w:p>
    <w:p w14:paraId="23F626B4" w14:textId="77777777" w:rsidR="00B32F91" w:rsidRPr="00EA1E6B" w:rsidRDefault="00B32F91" w:rsidP="00FF47D8">
      <w:pPr>
        <w:spacing w:line="276" w:lineRule="auto"/>
        <w:jc w:val="both"/>
        <w:rPr>
          <w:rFonts w:ascii="Arial" w:hAnsi="Arial" w:cs="Arial"/>
          <w:sz w:val="22"/>
          <w:szCs w:val="22"/>
        </w:rPr>
      </w:pPr>
    </w:p>
    <w:p w14:paraId="35379D69" w14:textId="77777777" w:rsidR="00B32F91" w:rsidRPr="00903C62" w:rsidRDefault="00B32F91" w:rsidP="00FF47D8">
      <w:pPr>
        <w:spacing w:line="276" w:lineRule="auto"/>
        <w:jc w:val="both"/>
        <w:rPr>
          <w:rFonts w:asciiTheme="minorHAnsi" w:hAnsiTheme="minorHAnsi" w:cstheme="minorHAnsi"/>
          <w:sz w:val="22"/>
          <w:szCs w:val="22"/>
        </w:rPr>
      </w:pPr>
      <w:r w:rsidRPr="00903C62">
        <w:rPr>
          <w:rFonts w:asciiTheme="minorHAnsi" w:hAnsiTheme="minorHAnsi" w:cstheme="minorHAnsi"/>
          <w:sz w:val="22"/>
          <w:szCs w:val="22"/>
        </w:rPr>
        <w:t xml:space="preserve">Enterprise Ireland’s </w:t>
      </w:r>
      <w:r w:rsidRPr="00903C62">
        <w:rPr>
          <w:rFonts w:asciiTheme="minorHAnsi" w:hAnsiTheme="minorHAnsi" w:cstheme="minorHAnsi"/>
          <w:i/>
          <w:iCs/>
          <w:sz w:val="22"/>
          <w:szCs w:val="22"/>
        </w:rPr>
        <w:t>Housing for All Offer</w:t>
      </w:r>
      <w:r w:rsidRPr="00903C62">
        <w:rPr>
          <w:rFonts w:asciiTheme="minorHAnsi" w:hAnsiTheme="minorHAnsi" w:cstheme="minorHAnsi"/>
          <w:sz w:val="22"/>
          <w:szCs w:val="22"/>
        </w:rPr>
        <w:t xml:space="preserve"> is open to Irish companies who employ 10 or more full time people equivalents working in homebuilding and can demonstrate an ability to deliver on the objectives of this fund.  This includes, but is not limited to:</w:t>
      </w:r>
    </w:p>
    <w:p w14:paraId="319E8CB4" w14:textId="77777777" w:rsidR="00B32F91" w:rsidRPr="00903C62" w:rsidRDefault="00B32F91" w:rsidP="00FF47D8">
      <w:pPr>
        <w:spacing w:line="276" w:lineRule="auto"/>
        <w:jc w:val="both"/>
        <w:rPr>
          <w:rFonts w:asciiTheme="minorHAnsi" w:hAnsiTheme="minorHAnsi" w:cstheme="minorHAnsi"/>
          <w:sz w:val="22"/>
          <w:szCs w:val="22"/>
        </w:rPr>
      </w:pPr>
    </w:p>
    <w:p w14:paraId="2A889AC7" w14:textId="77777777" w:rsidR="00B32F91" w:rsidRPr="00903C62" w:rsidRDefault="00B32F91" w:rsidP="00B32F91">
      <w:pPr>
        <w:numPr>
          <w:ilvl w:val="0"/>
          <w:numId w:val="32"/>
        </w:numPr>
        <w:spacing w:line="276" w:lineRule="auto"/>
        <w:contextualSpacing/>
        <w:jc w:val="both"/>
        <w:rPr>
          <w:rFonts w:asciiTheme="minorHAnsi" w:hAnsiTheme="minorHAnsi" w:cstheme="minorHAnsi"/>
          <w:sz w:val="22"/>
          <w:szCs w:val="22"/>
        </w:rPr>
      </w:pPr>
      <w:r w:rsidRPr="00903C62">
        <w:rPr>
          <w:rFonts w:asciiTheme="minorHAnsi" w:hAnsiTheme="minorHAnsi" w:cstheme="minorHAnsi"/>
          <w:sz w:val="22"/>
          <w:szCs w:val="22"/>
        </w:rPr>
        <w:t>Contractors,</w:t>
      </w:r>
    </w:p>
    <w:p w14:paraId="55A67F69" w14:textId="77777777" w:rsidR="00B32F91" w:rsidRPr="00903C62" w:rsidRDefault="00B32F91" w:rsidP="00B32F91">
      <w:pPr>
        <w:numPr>
          <w:ilvl w:val="0"/>
          <w:numId w:val="32"/>
        </w:numPr>
        <w:spacing w:line="276" w:lineRule="auto"/>
        <w:contextualSpacing/>
        <w:jc w:val="both"/>
        <w:rPr>
          <w:rFonts w:asciiTheme="minorHAnsi" w:hAnsiTheme="minorHAnsi" w:cstheme="minorHAnsi"/>
          <w:sz w:val="22"/>
          <w:szCs w:val="22"/>
        </w:rPr>
      </w:pPr>
      <w:r w:rsidRPr="00903C62">
        <w:rPr>
          <w:rFonts w:asciiTheme="minorHAnsi" w:hAnsiTheme="minorHAnsi" w:cstheme="minorHAnsi"/>
          <w:sz w:val="22"/>
          <w:szCs w:val="22"/>
        </w:rPr>
        <w:t>Builder developers,</w:t>
      </w:r>
    </w:p>
    <w:p w14:paraId="6F72C50B" w14:textId="77777777" w:rsidR="00B32F91" w:rsidRPr="00903C62" w:rsidRDefault="00B32F91" w:rsidP="00B32F91">
      <w:pPr>
        <w:numPr>
          <w:ilvl w:val="0"/>
          <w:numId w:val="32"/>
        </w:numPr>
        <w:spacing w:line="276" w:lineRule="auto"/>
        <w:contextualSpacing/>
        <w:jc w:val="both"/>
        <w:rPr>
          <w:rFonts w:asciiTheme="minorHAnsi" w:hAnsiTheme="minorHAnsi" w:cstheme="minorHAnsi"/>
          <w:sz w:val="22"/>
          <w:szCs w:val="22"/>
        </w:rPr>
      </w:pPr>
      <w:r w:rsidRPr="00903C62">
        <w:rPr>
          <w:rFonts w:asciiTheme="minorHAnsi" w:hAnsiTheme="minorHAnsi" w:cstheme="minorHAnsi"/>
          <w:sz w:val="22"/>
          <w:szCs w:val="22"/>
        </w:rPr>
        <w:t>Sub-contractors,</w:t>
      </w:r>
    </w:p>
    <w:p w14:paraId="20FE3866" w14:textId="77777777" w:rsidR="00B32F91" w:rsidRPr="00903C62" w:rsidRDefault="00B32F91" w:rsidP="00B32F91">
      <w:pPr>
        <w:numPr>
          <w:ilvl w:val="0"/>
          <w:numId w:val="32"/>
        </w:numPr>
        <w:spacing w:line="276" w:lineRule="auto"/>
        <w:contextualSpacing/>
        <w:jc w:val="both"/>
        <w:rPr>
          <w:rFonts w:asciiTheme="minorHAnsi" w:hAnsiTheme="minorHAnsi" w:cstheme="minorHAnsi"/>
          <w:i/>
          <w:iCs/>
          <w:sz w:val="22"/>
          <w:szCs w:val="22"/>
        </w:rPr>
      </w:pPr>
      <w:r w:rsidRPr="00903C62">
        <w:rPr>
          <w:rFonts w:asciiTheme="minorHAnsi" w:hAnsiTheme="minorHAnsi" w:cstheme="minorHAnsi"/>
          <w:sz w:val="22"/>
          <w:szCs w:val="22"/>
        </w:rPr>
        <w:t>Modern Methods of Construction manufacturing companies.</w:t>
      </w:r>
    </w:p>
    <w:p w14:paraId="53C66F34" w14:textId="77777777" w:rsidR="00B32F91" w:rsidRPr="00EA1E6B" w:rsidRDefault="00B32F91" w:rsidP="00FF47D8">
      <w:pPr>
        <w:spacing w:line="276" w:lineRule="auto"/>
        <w:ind w:left="720"/>
        <w:contextualSpacing/>
        <w:jc w:val="both"/>
        <w:rPr>
          <w:rFonts w:ascii="Arial" w:hAnsi="Arial" w:cs="Arial"/>
          <w:i/>
          <w:iCs/>
          <w:sz w:val="22"/>
          <w:szCs w:val="22"/>
        </w:rPr>
      </w:pPr>
    </w:p>
    <w:p w14:paraId="7EA50909" w14:textId="77777777" w:rsidR="00B32F91" w:rsidRPr="00903C62" w:rsidRDefault="00B32F91" w:rsidP="00FF47D8">
      <w:pPr>
        <w:spacing w:line="276" w:lineRule="auto"/>
        <w:jc w:val="both"/>
        <w:rPr>
          <w:rFonts w:asciiTheme="majorHAnsi" w:hAnsiTheme="majorHAnsi" w:cstheme="majorHAnsi"/>
          <w:b/>
          <w:bCs/>
          <w:color w:val="2F5496" w:themeColor="accent1" w:themeShade="BF"/>
          <w:sz w:val="22"/>
          <w:szCs w:val="22"/>
        </w:rPr>
      </w:pPr>
      <w:r w:rsidRPr="00903C62">
        <w:rPr>
          <w:rFonts w:asciiTheme="majorHAnsi" w:hAnsiTheme="majorHAnsi" w:cstheme="majorHAnsi"/>
          <w:b/>
          <w:bCs/>
          <w:color w:val="2F5496" w:themeColor="accent1" w:themeShade="BF"/>
          <w:sz w:val="22"/>
          <w:szCs w:val="22"/>
        </w:rPr>
        <w:t>Ineligible Companies</w:t>
      </w:r>
    </w:p>
    <w:p w14:paraId="1C5894BC" w14:textId="77777777" w:rsidR="00B32F91" w:rsidRPr="00903C62" w:rsidRDefault="00B32F91" w:rsidP="00FF47D8">
      <w:pPr>
        <w:spacing w:line="276" w:lineRule="auto"/>
        <w:jc w:val="both"/>
        <w:rPr>
          <w:rFonts w:asciiTheme="minorHAnsi" w:hAnsiTheme="minorHAnsi" w:cstheme="minorHAnsi"/>
          <w:sz w:val="22"/>
          <w:szCs w:val="22"/>
        </w:rPr>
      </w:pPr>
      <w:r w:rsidRPr="00903C62">
        <w:rPr>
          <w:rFonts w:asciiTheme="minorHAnsi" w:hAnsiTheme="minorHAnsi" w:cstheme="minorHAnsi"/>
          <w:sz w:val="22"/>
          <w:szCs w:val="22"/>
        </w:rPr>
        <w:t xml:space="preserve">Enterprise Ireland’s </w:t>
      </w:r>
      <w:r w:rsidRPr="00903C62">
        <w:rPr>
          <w:rFonts w:asciiTheme="minorHAnsi" w:hAnsiTheme="minorHAnsi" w:cstheme="minorHAnsi"/>
          <w:i/>
          <w:sz w:val="22"/>
          <w:szCs w:val="22"/>
        </w:rPr>
        <w:t xml:space="preserve">Housing for All Offer </w:t>
      </w:r>
      <w:r w:rsidRPr="00903C62">
        <w:rPr>
          <w:rFonts w:asciiTheme="minorHAnsi" w:hAnsiTheme="minorHAnsi" w:cstheme="minorHAnsi"/>
          <w:sz w:val="22"/>
          <w:szCs w:val="22"/>
        </w:rPr>
        <w:t xml:space="preserve">is </w:t>
      </w:r>
      <w:r w:rsidRPr="00903C62">
        <w:rPr>
          <w:rFonts w:asciiTheme="minorHAnsi" w:hAnsiTheme="minorHAnsi" w:cstheme="minorHAnsi"/>
          <w:sz w:val="22"/>
          <w:szCs w:val="22"/>
          <w:u w:val="single"/>
        </w:rPr>
        <w:t>not</w:t>
      </w:r>
      <w:r w:rsidRPr="00903C62">
        <w:rPr>
          <w:rFonts w:asciiTheme="minorHAnsi" w:hAnsiTheme="minorHAnsi" w:cstheme="minorHAnsi"/>
          <w:sz w:val="22"/>
          <w:szCs w:val="22"/>
        </w:rPr>
        <w:t xml:space="preserve"> open to companies that meet </w:t>
      </w:r>
      <w:proofErr w:type="gramStart"/>
      <w:r w:rsidRPr="00903C62">
        <w:rPr>
          <w:rFonts w:asciiTheme="minorHAnsi" w:hAnsiTheme="minorHAnsi" w:cstheme="minorHAnsi"/>
          <w:sz w:val="22"/>
          <w:szCs w:val="22"/>
        </w:rPr>
        <w:t>any one</w:t>
      </w:r>
      <w:proofErr w:type="gramEnd"/>
      <w:r w:rsidRPr="00903C62">
        <w:rPr>
          <w:rFonts w:asciiTheme="minorHAnsi" w:hAnsiTheme="minorHAnsi" w:cstheme="minorHAnsi"/>
          <w:sz w:val="22"/>
          <w:szCs w:val="22"/>
        </w:rPr>
        <w:t xml:space="preserve"> (or more than one) of the below criteria:</w:t>
      </w:r>
    </w:p>
    <w:p w14:paraId="0D4EAA85" w14:textId="77777777" w:rsidR="00B32F91" w:rsidRPr="00903C62" w:rsidRDefault="00B32F91" w:rsidP="00B32F91">
      <w:pPr>
        <w:numPr>
          <w:ilvl w:val="0"/>
          <w:numId w:val="33"/>
        </w:numPr>
        <w:spacing w:line="276" w:lineRule="auto"/>
        <w:contextualSpacing/>
        <w:jc w:val="both"/>
        <w:rPr>
          <w:rFonts w:asciiTheme="minorHAnsi" w:hAnsiTheme="minorHAnsi" w:cstheme="minorHAnsi"/>
          <w:sz w:val="22"/>
          <w:szCs w:val="22"/>
        </w:rPr>
      </w:pPr>
      <w:r w:rsidRPr="00903C62">
        <w:rPr>
          <w:rFonts w:asciiTheme="minorHAnsi" w:hAnsiTheme="minorHAnsi" w:cstheme="minorHAnsi"/>
          <w:sz w:val="22"/>
          <w:szCs w:val="22"/>
        </w:rPr>
        <w:t xml:space="preserve">Property developers who do not self-perform any construction work. </w:t>
      </w:r>
    </w:p>
    <w:p w14:paraId="1DF068F7" w14:textId="77777777" w:rsidR="00B32F91" w:rsidRPr="00903C62" w:rsidRDefault="00B32F91" w:rsidP="00B32F91">
      <w:pPr>
        <w:numPr>
          <w:ilvl w:val="0"/>
          <w:numId w:val="33"/>
        </w:numPr>
        <w:spacing w:line="276" w:lineRule="auto"/>
        <w:jc w:val="both"/>
        <w:rPr>
          <w:rFonts w:asciiTheme="minorHAnsi" w:hAnsiTheme="minorHAnsi" w:cstheme="minorHAnsi"/>
          <w:sz w:val="22"/>
          <w:szCs w:val="22"/>
        </w:rPr>
      </w:pPr>
      <w:r w:rsidRPr="00903C62">
        <w:rPr>
          <w:rFonts w:asciiTheme="minorHAnsi" w:hAnsiTheme="minorHAnsi" w:cstheme="minorHAnsi"/>
          <w:sz w:val="22"/>
          <w:szCs w:val="22"/>
        </w:rPr>
        <w:t>Companies employing less than 10 full time people.</w:t>
      </w:r>
    </w:p>
    <w:p w14:paraId="2AF78B7F" w14:textId="77777777" w:rsidR="00B32F91" w:rsidRPr="00903C62" w:rsidRDefault="00B32F91" w:rsidP="00B32F91">
      <w:pPr>
        <w:numPr>
          <w:ilvl w:val="0"/>
          <w:numId w:val="33"/>
        </w:numPr>
        <w:spacing w:line="276" w:lineRule="auto"/>
        <w:jc w:val="both"/>
        <w:rPr>
          <w:rFonts w:asciiTheme="minorHAnsi" w:hAnsiTheme="minorHAnsi" w:cstheme="minorHAnsi"/>
          <w:sz w:val="22"/>
          <w:szCs w:val="22"/>
        </w:rPr>
      </w:pPr>
      <w:r w:rsidRPr="00903C62">
        <w:rPr>
          <w:rFonts w:asciiTheme="minorHAnsi" w:hAnsiTheme="minorHAnsi" w:cstheme="minorHAnsi"/>
          <w:sz w:val="22"/>
          <w:szCs w:val="22"/>
        </w:rPr>
        <w:t xml:space="preserve">Companies that currently derive less than 20% of annual revenue from the homebuilding sector and do not have a validated plan to achieve this objective, this plan being satisfactory to Enterprise Ireland. Large companies that may have less than 20% revenue derived from homebuilding but </w:t>
      </w:r>
      <w:proofErr w:type="gramStart"/>
      <w:r w:rsidRPr="00903C62">
        <w:rPr>
          <w:rFonts w:asciiTheme="minorHAnsi" w:hAnsiTheme="minorHAnsi" w:cstheme="minorHAnsi"/>
          <w:sz w:val="22"/>
          <w:szCs w:val="22"/>
        </w:rPr>
        <w:t>are considered to be</w:t>
      </w:r>
      <w:proofErr w:type="gramEnd"/>
      <w:r w:rsidRPr="00903C62">
        <w:rPr>
          <w:rFonts w:asciiTheme="minorHAnsi" w:hAnsiTheme="minorHAnsi" w:cstheme="minorHAnsi"/>
          <w:sz w:val="22"/>
          <w:szCs w:val="22"/>
        </w:rPr>
        <w:t xml:space="preserve"> capable of delivering substantial numbers of units will also be considered. </w:t>
      </w:r>
    </w:p>
    <w:p w14:paraId="75AF50B7" w14:textId="77777777" w:rsidR="00B32F91" w:rsidRPr="00903C62" w:rsidRDefault="00B32F91" w:rsidP="00B32F91">
      <w:pPr>
        <w:numPr>
          <w:ilvl w:val="0"/>
          <w:numId w:val="33"/>
        </w:numPr>
        <w:spacing w:line="276" w:lineRule="auto"/>
        <w:jc w:val="both"/>
        <w:rPr>
          <w:rFonts w:asciiTheme="minorHAnsi" w:hAnsiTheme="minorHAnsi" w:cstheme="minorHAnsi"/>
          <w:sz w:val="22"/>
          <w:szCs w:val="22"/>
        </w:rPr>
      </w:pPr>
      <w:r w:rsidRPr="00903C62">
        <w:rPr>
          <w:rFonts w:asciiTheme="minorHAnsi" w:hAnsiTheme="minorHAnsi" w:cstheme="minorHAnsi"/>
          <w:sz w:val="22"/>
          <w:szCs w:val="22"/>
        </w:rPr>
        <w:t>Do not meet the eligibility criteria as outlined in this Appendix</w:t>
      </w:r>
    </w:p>
    <w:p w14:paraId="61B8648E" w14:textId="77777777" w:rsidR="00B32F91" w:rsidRPr="00903C62" w:rsidRDefault="00B32F91" w:rsidP="00B32F91">
      <w:pPr>
        <w:numPr>
          <w:ilvl w:val="0"/>
          <w:numId w:val="33"/>
        </w:numPr>
        <w:spacing w:line="276" w:lineRule="auto"/>
        <w:jc w:val="both"/>
        <w:rPr>
          <w:rFonts w:asciiTheme="minorHAnsi" w:hAnsiTheme="minorHAnsi" w:cstheme="minorHAnsi"/>
          <w:sz w:val="22"/>
          <w:szCs w:val="22"/>
        </w:rPr>
      </w:pPr>
      <w:r w:rsidRPr="00903C62">
        <w:rPr>
          <w:rFonts w:asciiTheme="minorHAnsi" w:hAnsiTheme="minorHAnsi" w:cstheme="minorHAnsi"/>
          <w:sz w:val="22"/>
          <w:szCs w:val="22"/>
        </w:rPr>
        <w:t>Are operating in the coal or steel sector.</w:t>
      </w:r>
    </w:p>
    <w:p w14:paraId="79F680F6" w14:textId="77777777" w:rsidR="00B32F91" w:rsidRPr="00903C62" w:rsidRDefault="00B32F91" w:rsidP="00B32F91">
      <w:pPr>
        <w:numPr>
          <w:ilvl w:val="0"/>
          <w:numId w:val="33"/>
        </w:numPr>
        <w:spacing w:line="276" w:lineRule="auto"/>
        <w:jc w:val="both"/>
        <w:rPr>
          <w:rFonts w:asciiTheme="minorHAnsi" w:hAnsiTheme="minorHAnsi" w:cstheme="minorHAnsi"/>
          <w:sz w:val="22"/>
          <w:szCs w:val="22"/>
        </w:rPr>
      </w:pPr>
      <w:r w:rsidRPr="00903C62">
        <w:rPr>
          <w:rFonts w:asciiTheme="minorHAnsi" w:hAnsiTheme="minorHAnsi" w:cstheme="minorHAnsi"/>
          <w:sz w:val="22"/>
          <w:szCs w:val="22"/>
        </w:rPr>
        <w:lastRenderedPageBreak/>
        <w:t>Are active in the primary agricultural, fishery or aquaculture sectors.</w:t>
      </w:r>
    </w:p>
    <w:p w14:paraId="00BE545C" w14:textId="77777777" w:rsidR="00B32F91" w:rsidRPr="00903C62" w:rsidRDefault="00B32F91" w:rsidP="00B32F91">
      <w:pPr>
        <w:numPr>
          <w:ilvl w:val="0"/>
          <w:numId w:val="33"/>
        </w:numPr>
        <w:spacing w:line="276" w:lineRule="auto"/>
        <w:jc w:val="both"/>
        <w:rPr>
          <w:rFonts w:asciiTheme="minorHAnsi" w:hAnsiTheme="minorHAnsi" w:cstheme="minorHAnsi"/>
          <w:sz w:val="22"/>
          <w:szCs w:val="22"/>
        </w:rPr>
      </w:pPr>
      <w:r w:rsidRPr="00903C62">
        <w:rPr>
          <w:rFonts w:asciiTheme="minorHAnsi" w:hAnsiTheme="minorHAnsi" w:cstheme="minorHAnsi"/>
          <w:sz w:val="22"/>
          <w:szCs w:val="22"/>
        </w:rPr>
        <w:t>Are covered by specific rules for Financial Services.</w:t>
      </w:r>
      <w:r w:rsidRPr="00903C62">
        <w:rPr>
          <w:rFonts w:asciiTheme="minorHAnsi" w:hAnsiTheme="minorHAnsi" w:cstheme="minorHAnsi"/>
          <w:sz w:val="22"/>
          <w:szCs w:val="22"/>
          <w:vertAlign w:val="superscript"/>
        </w:rPr>
        <w:footnoteReference w:id="8"/>
      </w:r>
    </w:p>
    <w:p w14:paraId="20B6EB9F" w14:textId="77777777" w:rsidR="00B32F91" w:rsidRPr="00903C62" w:rsidRDefault="00B32F91" w:rsidP="00B32F91">
      <w:pPr>
        <w:numPr>
          <w:ilvl w:val="0"/>
          <w:numId w:val="33"/>
        </w:numPr>
        <w:autoSpaceDE w:val="0"/>
        <w:autoSpaceDN w:val="0"/>
        <w:adjustRightInd w:val="0"/>
        <w:spacing w:line="276" w:lineRule="auto"/>
        <w:contextualSpacing/>
        <w:jc w:val="both"/>
        <w:rPr>
          <w:rFonts w:asciiTheme="minorHAnsi" w:eastAsia="Calibri" w:hAnsiTheme="minorHAnsi" w:cstheme="minorHAnsi"/>
          <w:sz w:val="22"/>
          <w:szCs w:val="22"/>
        </w:rPr>
      </w:pPr>
      <w:r w:rsidRPr="00903C62">
        <w:rPr>
          <w:rFonts w:asciiTheme="minorHAnsi" w:eastAsia="Calibri" w:hAnsiTheme="minorHAnsi" w:cstheme="minorHAnsi"/>
          <w:sz w:val="22"/>
          <w:szCs w:val="22"/>
        </w:rPr>
        <w:t>Include or relate to activities that Enterprise Ireland considers as ineligible or as involving an unacceptable reputational risk. Ineligible activities include activities relating to:</w:t>
      </w:r>
    </w:p>
    <w:p w14:paraId="2479EDF5" w14:textId="77777777" w:rsidR="00B32F91" w:rsidRPr="00903C62" w:rsidRDefault="00B32F91" w:rsidP="00B32F91">
      <w:pPr>
        <w:numPr>
          <w:ilvl w:val="1"/>
          <w:numId w:val="33"/>
        </w:numPr>
        <w:autoSpaceDE w:val="0"/>
        <w:autoSpaceDN w:val="0"/>
        <w:adjustRightInd w:val="0"/>
        <w:spacing w:line="276" w:lineRule="auto"/>
        <w:contextualSpacing/>
        <w:jc w:val="both"/>
        <w:rPr>
          <w:rFonts w:asciiTheme="minorHAnsi" w:eastAsia="Calibri" w:hAnsiTheme="minorHAnsi" w:cstheme="minorHAnsi"/>
          <w:sz w:val="22"/>
          <w:szCs w:val="22"/>
        </w:rPr>
      </w:pPr>
      <w:r w:rsidRPr="00903C62">
        <w:rPr>
          <w:rFonts w:asciiTheme="minorHAnsi" w:eastAsia="Calibri" w:hAnsiTheme="minorHAnsi" w:cstheme="minorHAnsi"/>
          <w:sz w:val="22"/>
          <w:szCs w:val="22"/>
        </w:rPr>
        <w:t>The gambling sector, including ‘gaming’ (as defined in the Gaming and Lotteries Act 1956).</w:t>
      </w:r>
    </w:p>
    <w:p w14:paraId="74AAA203" w14:textId="77777777" w:rsidR="00B32F91" w:rsidRPr="00903C62" w:rsidRDefault="00B32F91" w:rsidP="00B32F91">
      <w:pPr>
        <w:numPr>
          <w:ilvl w:val="1"/>
          <w:numId w:val="33"/>
        </w:numPr>
        <w:autoSpaceDE w:val="0"/>
        <w:autoSpaceDN w:val="0"/>
        <w:adjustRightInd w:val="0"/>
        <w:spacing w:line="276" w:lineRule="auto"/>
        <w:contextualSpacing/>
        <w:jc w:val="both"/>
        <w:rPr>
          <w:rFonts w:asciiTheme="minorHAnsi" w:eastAsia="Calibri" w:hAnsiTheme="minorHAnsi" w:cstheme="minorHAnsi"/>
          <w:sz w:val="22"/>
          <w:szCs w:val="22"/>
        </w:rPr>
      </w:pPr>
      <w:r w:rsidRPr="00903C62">
        <w:rPr>
          <w:rFonts w:asciiTheme="minorHAnsi" w:eastAsia="Calibri" w:hAnsiTheme="minorHAnsi" w:cstheme="minorHAnsi"/>
          <w:sz w:val="22"/>
          <w:szCs w:val="22"/>
        </w:rPr>
        <w:t>Adult entertainment.</w:t>
      </w:r>
    </w:p>
    <w:p w14:paraId="511632A8" w14:textId="77777777" w:rsidR="00B32F91" w:rsidRPr="00903C62" w:rsidRDefault="00B32F91" w:rsidP="00B32F91">
      <w:pPr>
        <w:numPr>
          <w:ilvl w:val="1"/>
          <w:numId w:val="33"/>
        </w:numPr>
        <w:autoSpaceDE w:val="0"/>
        <w:autoSpaceDN w:val="0"/>
        <w:adjustRightInd w:val="0"/>
        <w:spacing w:line="276" w:lineRule="auto"/>
        <w:contextualSpacing/>
        <w:jc w:val="both"/>
        <w:rPr>
          <w:rFonts w:asciiTheme="minorHAnsi" w:eastAsia="Calibri" w:hAnsiTheme="minorHAnsi" w:cstheme="minorHAnsi"/>
          <w:sz w:val="22"/>
          <w:szCs w:val="22"/>
        </w:rPr>
      </w:pPr>
      <w:r w:rsidRPr="00903C62">
        <w:rPr>
          <w:rFonts w:asciiTheme="minorHAnsi" w:eastAsia="Calibri" w:hAnsiTheme="minorHAnsi" w:cstheme="minorHAnsi"/>
          <w:sz w:val="22"/>
          <w:szCs w:val="22"/>
        </w:rPr>
        <w:t xml:space="preserve">Tobacco products. </w:t>
      </w:r>
    </w:p>
    <w:p w14:paraId="5BA225EE" w14:textId="77777777" w:rsidR="00B32F91" w:rsidRPr="00903C62" w:rsidRDefault="00B32F91" w:rsidP="00B32F91">
      <w:pPr>
        <w:numPr>
          <w:ilvl w:val="1"/>
          <w:numId w:val="33"/>
        </w:numPr>
        <w:autoSpaceDE w:val="0"/>
        <w:autoSpaceDN w:val="0"/>
        <w:adjustRightInd w:val="0"/>
        <w:spacing w:line="276" w:lineRule="auto"/>
        <w:contextualSpacing/>
        <w:jc w:val="both"/>
        <w:rPr>
          <w:rFonts w:asciiTheme="minorHAnsi" w:eastAsia="Calibri" w:hAnsiTheme="minorHAnsi" w:cstheme="minorHAnsi"/>
          <w:sz w:val="22"/>
          <w:szCs w:val="22"/>
        </w:rPr>
      </w:pPr>
      <w:r w:rsidRPr="00903C62">
        <w:rPr>
          <w:rFonts w:asciiTheme="minorHAnsi" w:hAnsiTheme="minorHAnsi" w:cstheme="minorHAnsi"/>
          <w:sz w:val="22"/>
          <w:szCs w:val="22"/>
        </w:rPr>
        <w:t>Cannabis-based products which are not authorised as medicines.</w:t>
      </w:r>
    </w:p>
    <w:p w14:paraId="7695FF90" w14:textId="77777777" w:rsidR="00B32F91" w:rsidRPr="00903C62" w:rsidRDefault="00B32F91" w:rsidP="00FF47D8">
      <w:pPr>
        <w:autoSpaceDE w:val="0"/>
        <w:autoSpaceDN w:val="0"/>
        <w:adjustRightInd w:val="0"/>
        <w:spacing w:line="276" w:lineRule="auto"/>
        <w:ind w:left="1440"/>
        <w:contextualSpacing/>
        <w:jc w:val="both"/>
        <w:rPr>
          <w:rFonts w:asciiTheme="minorHAnsi" w:eastAsia="Calibri" w:hAnsiTheme="minorHAnsi" w:cstheme="minorHAnsi"/>
          <w:sz w:val="22"/>
          <w:szCs w:val="22"/>
        </w:rPr>
      </w:pPr>
    </w:p>
    <w:p w14:paraId="737A2AED" w14:textId="77777777" w:rsidR="00B32F91" w:rsidRPr="00903C62" w:rsidRDefault="00B32F91" w:rsidP="00FF47D8">
      <w:pPr>
        <w:spacing w:line="276" w:lineRule="auto"/>
        <w:jc w:val="both"/>
        <w:rPr>
          <w:rFonts w:asciiTheme="minorHAnsi" w:hAnsiTheme="minorHAnsi" w:cstheme="minorHAnsi"/>
          <w:color w:val="000000" w:themeColor="text1"/>
          <w:sz w:val="22"/>
          <w:szCs w:val="22"/>
        </w:rPr>
      </w:pPr>
      <w:r w:rsidRPr="00903C62">
        <w:rPr>
          <w:rFonts w:asciiTheme="minorHAnsi" w:hAnsiTheme="minorHAnsi" w:cstheme="minorHAnsi"/>
          <w:b/>
          <w:bCs/>
          <w:color w:val="000000" w:themeColor="text1"/>
          <w:sz w:val="22"/>
          <w:szCs w:val="22"/>
        </w:rPr>
        <w:t>Note</w:t>
      </w:r>
      <w:r w:rsidRPr="00903C62">
        <w:rPr>
          <w:rFonts w:asciiTheme="minorHAnsi" w:hAnsiTheme="minorHAnsi" w:cstheme="minorHAnsi"/>
          <w:color w:val="000000" w:themeColor="text1"/>
          <w:sz w:val="22"/>
          <w:szCs w:val="22"/>
        </w:rPr>
        <w:t>: In 2022, under this fund, eligible companies can apply for multiple projects up to a maximum of €500k per undertaking. Funding above this level will be approved in exceptional cases and will be subject to review.</w:t>
      </w:r>
    </w:p>
    <w:p w14:paraId="30CDAA6E" w14:textId="77777777" w:rsidR="00B32F91" w:rsidRPr="00903C62" w:rsidRDefault="00B32F91" w:rsidP="00FF47D8">
      <w:pPr>
        <w:spacing w:line="276" w:lineRule="auto"/>
        <w:jc w:val="both"/>
        <w:rPr>
          <w:rFonts w:asciiTheme="minorHAnsi" w:hAnsiTheme="minorHAnsi" w:cstheme="minorHAnsi"/>
          <w:color w:val="000000" w:themeColor="text1"/>
          <w:sz w:val="22"/>
          <w:szCs w:val="22"/>
        </w:rPr>
      </w:pPr>
      <w:r w:rsidRPr="00903C62">
        <w:rPr>
          <w:rFonts w:asciiTheme="minorHAnsi" w:hAnsiTheme="minorHAnsi" w:cstheme="minorHAnsi"/>
          <w:color w:val="000000" w:themeColor="text1"/>
          <w:sz w:val="22"/>
          <w:szCs w:val="22"/>
        </w:rPr>
        <w:t xml:space="preserve">In addition, it is expected that a company will not be availing of more than one offer under Housing for All at one time. </w:t>
      </w:r>
    </w:p>
    <w:p w14:paraId="6E3A35ED" w14:textId="77777777" w:rsidR="00903C62" w:rsidRPr="00EA1E6B" w:rsidRDefault="00903C62" w:rsidP="00FF47D8">
      <w:pPr>
        <w:spacing w:line="276" w:lineRule="auto"/>
        <w:jc w:val="both"/>
        <w:rPr>
          <w:rFonts w:ascii="Arial" w:hAnsi="Arial" w:cs="Arial"/>
          <w:color w:val="000000" w:themeColor="text1"/>
          <w:sz w:val="22"/>
          <w:szCs w:val="22"/>
        </w:rPr>
      </w:pPr>
    </w:p>
    <w:p w14:paraId="5D0FF9D4" w14:textId="77777777" w:rsidR="00B32F91" w:rsidRPr="00903C62" w:rsidRDefault="00B32F91" w:rsidP="00FF47D8">
      <w:pPr>
        <w:spacing w:line="276" w:lineRule="auto"/>
        <w:jc w:val="both"/>
        <w:rPr>
          <w:rFonts w:asciiTheme="majorHAnsi" w:hAnsiTheme="majorHAnsi" w:cstheme="majorHAnsi"/>
          <w:b/>
          <w:bCs/>
          <w:color w:val="2F5496" w:themeColor="accent1" w:themeShade="BF"/>
          <w:sz w:val="22"/>
          <w:szCs w:val="22"/>
        </w:rPr>
      </w:pPr>
      <w:r w:rsidRPr="00903C62">
        <w:rPr>
          <w:rFonts w:asciiTheme="majorHAnsi" w:hAnsiTheme="majorHAnsi" w:cstheme="majorHAnsi"/>
          <w:b/>
          <w:bCs/>
          <w:color w:val="2F5496" w:themeColor="accent1" w:themeShade="BF"/>
          <w:sz w:val="22"/>
          <w:szCs w:val="22"/>
        </w:rPr>
        <w:t xml:space="preserve">3. Application, Evaluation and Approval Process </w:t>
      </w:r>
    </w:p>
    <w:p w14:paraId="48F018E0" w14:textId="77777777" w:rsidR="00B32F91" w:rsidRPr="00903C62" w:rsidRDefault="00B32F91" w:rsidP="00FF47D8">
      <w:pPr>
        <w:spacing w:line="276" w:lineRule="auto"/>
        <w:jc w:val="both"/>
        <w:rPr>
          <w:rFonts w:asciiTheme="majorHAnsi" w:hAnsiTheme="majorHAnsi" w:cstheme="majorHAnsi"/>
          <w:color w:val="2F5496" w:themeColor="accent1" w:themeShade="BF"/>
          <w:sz w:val="22"/>
          <w:szCs w:val="22"/>
        </w:rPr>
      </w:pPr>
      <w:r w:rsidRPr="00903C62">
        <w:rPr>
          <w:rFonts w:asciiTheme="majorHAnsi" w:hAnsiTheme="majorHAnsi" w:cstheme="majorHAnsi"/>
          <w:b/>
          <w:bCs/>
          <w:color w:val="2F5496" w:themeColor="accent1" w:themeShade="BF"/>
          <w:sz w:val="22"/>
          <w:szCs w:val="22"/>
        </w:rPr>
        <w:t>3.1 Eligible Application</w:t>
      </w:r>
    </w:p>
    <w:p w14:paraId="3DF72191" w14:textId="77777777" w:rsidR="00B32F91" w:rsidRPr="00903C62" w:rsidRDefault="00B32F91" w:rsidP="00FF47D8">
      <w:pPr>
        <w:spacing w:line="276" w:lineRule="auto"/>
        <w:jc w:val="both"/>
        <w:rPr>
          <w:rFonts w:asciiTheme="minorHAnsi" w:hAnsiTheme="minorHAnsi" w:cstheme="minorHAnsi"/>
          <w:sz w:val="22"/>
          <w:szCs w:val="22"/>
          <w:u w:val="single"/>
        </w:rPr>
      </w:pPr>
      <w:r w:rsidRPr="00903C62">
        <w:rPr>
          <w:rFonts w:asciiTheme="minorHAnsi" w:hAnsiTheme="minorHAnsi" w:cstheme="minorHAnsi"/>
          <w:sz w:val="22"/>
          <w:szCs w:val="22"/>
        </w:rPr>
        <w:t xml:space="preserve">The application documentation required is the same as required for the Access Advice: </w:t>
      </w:r>
      <w:r w:rsidRPr="00903C62">
        <w:rPr>
          <w:rFonts w:asciiTheme="minorHAnsi" w:hAnsiTheme="minorHAnsi" w:cstheme="minorHAnsi"/>
          <w:color w:val="000000" w:themeColor="text1"/>
          <w:sz w:val="22"/>
          <w:szCs w:val="22"/>
        </w:rPr>
        <w:t xml:space="preserve">Digital Discovery and/or Access Advice: Lean Start grant </w:t>
      </w:r>
      <w:r w:rsidRPr="00903C62">
        <w:rPr>
          <w:rFonts w:asciiTheme="minorHAnsi" w:hAnsiTheme="minorHAnsi" w:cstheme="minorHAnsi"/>
          <w:sz w:val="22"/>
          <w:szCs w:val="22"/>
        </w:rPr>
        <w:t xml:space="preserve">with one additional document requested to facilitate an eligibility and package sizing assessment. This document is a simple excel table which detail the company’s total revenue, the percentage derived from homebuilding, number of employees and the number of housing units delivered over a seven-year period and a brief housing impact statement. This is two previous years, current year and four future years. </w:t>
      </w:r>
    </w:p>
    <w:p w14:paraId="4CCF897F" w14:textId="77777777" w:rsidR="00B32F91" w:rsidRPr="00903C62" w:rsidRDefault="00B32F91" w:rsidP="00FF47D8">
      <w:pPr>
        <w:spacing w:line="276" w:lineRule="auto"/>
        <w:jc w:val="both"/>
        <w:rPr>
          <w:rFonts w:asciiTheme="minorHAnsi" w:hAnsiTheme="minorHAnsi" w:cstheme="minorHAnsi"/>
          <w:sz w:val="22"/>
          <w:szCs w:val="22"/>
          <w:u w:val="single"/>
        </w:rPr>
      </w:pPr>
    </w:p>
    <w:p w14:paraId="50DAB476" w14:textId="77777777" w:rsidR="00B32F91" w:rsidRPr="00370A2B" w:rsidRDefault="00B32F91" w:rsidP="00FF47D8">
      <w:pPr>
        <w:spacing w:line="276" w:lineRule="auto"/>
        <w:jc w:val="both"/>
        <w:rPr>
          <w:rFonts w:cstheme="minorHAnsi"/>
          <w:sz w:val="22"/>
          <w:szCs w:val="22"/>
          <w:u w:val="single"/>
        </w:rPr>
      </w:pPr>
    </w:p>
    <w:p w14:paraId="7149FF36" w14:textId="77777777" w:rsidR="00B32F91" w:rsidRPr="00370A2B" w:rsidRDefault="00B32F91" w:rsidP="00FF47D8">
      <w:pPr>
        <w:spacing w:line="276" w:lineRule="auto"/>
        <w:jc w:val="both"/>
        <w:rPr>
          <w:rFonts w:cstheme="minorHAnsi"/>
          <w:sz w:val="22"/>
          <w:szCs w:val="22"/>
          <w:u w:val="single"/>
        </w:rPr>
      </w:pPr>
    </w:p>
    <w:p w14:paraId="3ED0AD7C" w14:textId="77777777" w:rsidR="00B32F91" w:rsidRPr="00370A2B" w:rsidRDefault="00B32F91" w:rsidP="00FF47D8">
      <w:pPr>
        <w:spacing w:line="276" w:lineRule="auto"/>
        <w:jc w:val="both"/>
        <w:rPr>
          <w:rFonts w:cstheme="minorHAnsi"/>
          <w:sz w:val="22"/>
          <w:szCs w:val="22"/>
          <w:u w:val="single"/>
        </w:rPr>
      </w:pPr>
    </w:p>
    <w:p w14:paraId="669C330E" w14:textId="77777777" w:rsidR="00B32F91" w:rsidRPr="00370A2B" w:rsidRDefault="00B32F91" w:rsidP="00FF47D8">
      <w:pPr>
        <w:rPr>
          <w:rFonts w:cstheme="minorHAnsi"/>
          <w:b/>
          <w:bCs/>
          <w:color w:val="000000" w:themeColor="text1"/>
          <w:sz w:val="22"/>
          <w:szCs w:val="22"/>
        </w:rPr>
      </w:pPr>
      <w:r w:rsidRPr="00370A2B">
        <w:rPr>
          <w:rFonts w:cstheme="minorHAnsi"/>
          <w:b/>
          <w:bCs/>
          <w:color w:val="000000" w:themeColor="text1"/>
          <w:sz w:val="22"/>
          <w:szCs w:val="22"/>
        </w:rPr>
        <w:br w:type="page"/>
      </w:r>
    </w:p>
    <w:p w14:paraId="115F8518" w14:textId="77777777" w:rsidR="00B32F91" w:rsidRPr="00903C62" w:rsidRDefault="00B32F91" w:rsidP="00FF47D8">
      <w:pPr>
        <w:spacing w:line="256" w:lineRule="auto"/>
        <w:rPr>
          <w:rFonts w:asciiTheme="majorHAnsi" w:hAnsiTheme="majorHAnsi" w:cstheme="majorHAnsi"/>
          <w:b/>
          <w:bCs/>
          <w:color w:val="2F5496" w:themeColor="accent1" w:themeShade="BF"/>
          <w:sz w:val="22"/>
          <w:szCs w:val="22"/>
        </w:rPr>
      </w:pPr>
      <w:r w:rsidRPr="00903C62">
        <w:rPr>
          <w:rFonts w:asciiTheme="majorHAnsi" w:hAnsiTheme="majorHAnsi" w:cstheme="majorHAnsi"/>
          <w:b/>
          <w:bCs/>
          <w:color w:val="2F5496" w:themeColor="accent1" w:themeShade="BF"/>
          <w:sz w:val="22"/>
          <w:szCs w:val="22"/>
        </w:rPr>
        <w:lastRenderedPageBreak/>
        <w:t>3.2 Application Process</w:t>
      </w:r>
    </w:p>
    <w:tbl>
      <w:tblPr>
        <w:tblStyle w:val="TableGrid2"/>
        <w:tblW w:w="9922" w:type="dxa"/>
        <w:tblInd w:w="-809" w:type="dxa"/>
        <w:tblCellMar>
          <w:top w:w="28" w:type="dxa"/>
          <w:left w:w="113" w:type="dxa"/>
          <w:bottom w:w="28" w:type="dxa"/>
          <w:right w:w="113" w:type="dxa"/>
        </w:tblCellMar>
        <w:tblLook w:val="04A0" w:firstRow="1" w:lastRow="0" w:firstColumn="1" w:lastColumn="0" w:noHBand="0" w:noVBand="1"/>
      </w:tblPr>
      <w:tblGrid>
        <w:gridCol w:w="1398"/>
        <w:gridCol w:w="8524"/>
      </w:tblGrid>
      <w:tr w:rsidR="00B32F91" w:rsidRPr="00370A2B" w14:paraId="4A0D7371" w14:textId="77777777" w:rsidTr="00914829">
        <w:trPr>
          <w:trHeight w:val="20"/>
        </w:trPr>
        <w:tc>
          <w:tcPr>
            <w:tcW w:w="1398" w:type="dxa"/>
            <w:shd w:val="clear" w:color="auto" w:fill="CFD5EA"/>
          </w:tcPr>
          <w:p w14:paraId="18819781" w14:textId="77777777" w:rsidR="00B32F91" w:rsidRPr="00903C62" w:rsidRDefault="00B32F91" w:rsidP="002B26F3">
            <w:pPr>
              <w:spacing w:after="160" w:line="256" w:lineRule="auto"/>
              <w:jc w:val="both"/>
              <w:rPr>
                <w:rFonts w:eastAsia="Batang" w:cstheme="minorHAnsi"/>
                <w:b/>
                <w:bCs/>
                <w:sz w:val="22"/>
                <w:szCs w:val="22"/>
                <w:lang w:eastAsia="en-IE"/>
              </w:rPr>
            </w:pPr>
            <w:r w:rsidRPr="00903C62">
              <w:rPr>
                <w:rFonts w:eastAsia="Batang" w:cstheme="minorHAnsi"/>
                <w:b/>
                <w:bCs/>
                <w:sz w:val="22"/>
                <w:szCs w:val="22"/>
                <w:lang w:eastAsia="en-IE"/>
              </w:rPr>
              <w:t>Inquiries</w:t>
            </w:r>
          </w:p>
        </w:tc>
        <w:tc>
          <w:tcPr>
            <w:tcW w:w="8524" w:type="dxa"/>
            <w:shd w:val="clear" w:color="auto" w:fill="E9EBF5"/>
          </w:tcPr>
          <w:p w14:paraId="3E9DE2AA" w14:textId="77777777" w:rsidR="00B32F91" w:rsidRPr="00903C62" w:rsidRDefault="00B32F91" w:rsidP="00B32F91">
            <w:pPr>
              <w:numPr>
                <w:ilvl w:val="0"/>
                <w:numId w:val="35"/>
              </w:numPr>
              <w:spacing w:after="160" w:line="256" w:lineRule="auto"/>
              <w:ind w:left="227" w:hanging="227"/>
              <w:contextualSpacing/>
              <w:jc w:val="both"/>
              <w:rPr>
                <w:rFonts w:eastAsia="Batang" w:cstheme="minorHAnsi"/>
                <w:sz w:val="22"/>
                <w:szCs w:val="22"/>
                <w:lang w:eastAsia="en-IE"/>
              </w:rPr>
            </w:pPr>
            <w:r w:rsidRPr="00903C62">
              <w:rPr>
                <w:rFonts w:eastAsia="Batang" w:cstheme="minorHAnsi"/>
                <w:sz w:val="22"/>
                <w:szCs w:val="22"/>
                <w:lang w:eastAsia="en-IE"/>
              </w:rPr>
              <w:t>In bound inquiries to the Enterprise Ireland webpage on these supports will direct people to contact an email address for further information. The Enterprise Ireland Housing team will engage with the potential applicant to initiate the assessment of eligibility.</w:t>
            </w:r>
          </w:p>
        </w:tc>
      </w:tr>
      <w:tr w:rsidR="00B32F91" w:rsidRPr="00370A2B" w14:paraId="36BF00FC" w14:textId="77777777" w:rsidTr="00914829">
        <w:trPr>
          <w:trHeight w:val="20"/>
        </w:trPr>
        <w:tc>
          <w:tcPr>
            <w:tcW w:w="1398" w:type="dxa"/>
            <w:shd w:val="clear" w:color="auto" w:fill="CFD5EA"/>
          </w:tcPr>
          <w:p w14:paraId="01128E2C" w14:textId="77777777" w:rsidR="00B32F91" w:rsidRPr="00903C62" w:rsidRDefault="00B32F91" w:rsidP="002B26F3">
            <w:pPr>
              <w:spacing w:after="160" w:line="256" w:lineRule="auto"/>
              <w:jc w:val="both"/>
              <w:rPr>
                <w:rFonts w:eastAsia="Batang" w:cstheme="minorHAnsi"/>
                <w:sz w:val="22"/>
                <w:szCs w:val="22"/>
              </w:rPr>
            </w:pPr>
            <w:r w:rsidRPr="00903C62">
              <w:rPr>
                <w:rFonts w:eastAsia="Batang" w:cstheme="minorHAnsi"/>
                <w:b/>
                <w:bCs/>
                <w:sz w:val="22"/>
                <w:szCs w:val="22"/>
                <w:lang w:eastAsia="en-IE"/>
              </w:rPr>
              <w:t>Assessment of Eligibility:</w:t>
            </w:r>
          </w:p>
        </w:tc>
        <w:tc>
          <w:tcPr>
            <w:tcW w:w="8524" w:type="dxa"/>
            <w:shd w:val="clear" w:color="auto" w:fill="E9EBF5"/>
          </w:tcPr>
          <w:p w14:paraId="3FE4D27A" w14:textId="77777777" w:rsidR="00B32F91" w:rsidRPr="00903C62" w:rsidRDefault="00B32F91" w:rsidP="00B32F91">
            <w:pPr>
              <w:numPr>
                <w:ilvl w:val="0"/>
                <w:numId w:val="35"/>
              </w:numPr>
              <w:spacing w:after="160" w:line="256" w:lineRule="auto"/>
              <w:ind w:left="227" w:hanging="227"/>
              <w:contextualSpacing/>
              <w:jc w:val="both"/>
              <w:rPr>
                <w:rFonts w:eastAsia="Batang" w:cstheme="minorHAnsi"/>
                <w:b/>
                <w:bCs/>
                <w:sz w:val="22"/>
                <w:szCs w:val="22"/>
                <w:lang w:eastAsia="en-IE"/>
              </w:rPr>
            </w:pPr>
            <w:r w:rsidRPr="00903C62">
              <w:rPr>
                <w:rFonts w:eastAsia="Batang" w:cstheme="minorHAnsi"/>
                <w:b/>
                <w:bCs/>
                <w:sz w:val="22"/>
                <w:szCs w:val="22"/>
                <w:lang w:eastAsia="en-IE"/>
              </w:rPr>
              <w:t xml:space="preserve">Step 1: </w:t>
            </w:r>
            <w:r w:rsidRPr="00903C62">
              <w:rPr>
                <w:rFonts w:eastAsia="Batang" w:cstheme="minorHAnsi"/>
                <w:sz w:val="22"/>
                <w:szCs w:val="22"/>
                <w:lang w:eastAsia="en-IE"/>
              </w:rPr>
              <w:t xml:space="preserve">Applicants will complete a Housing Impacts Statement, setting out the following: </w:t>
            </w:r>
          </w:p>
          <w:p w14:paraId="486B5768" w14:textId="77777777" w:rsidR="00B32F91" w:rsidRPr="00903C62" w:rsidRDefault="00B32F91" w:rsidP="00B32F91">
            <w:pPr>
              <w:numPr>
                <w:ilvl w:val="0"/>
                <w:numId w:val="35"/>
              </w:numPr>
              <w:spacing w:after="160" w:line="256" w:lineRule="auto"/>
              <w:ind w:left="454" w:hanging="227"/>
              <w:contextualSpacing/>
              <w:jc w:val="both"/>
              <w:rPr>
                <w:rFonts w:eastAsia="Batang" w:cstheme="minorHAnsi"/>
                <w:sz w:val="22"/>
                <w:szCs w:val="22"/>
                <w:lang w:eastAsia="en-IE"/>
              </w:rPr>
            </w:pPr>
            <w:r w:rsidRPr="00903C62">
              <w:rPr>
                <w:rFonts w:eastAsia="Batang" w:cstheme="minorHAnsi"/>
                <w:sz w:val="22"/>
                <w:szCs w:val="22"/>
                <w:lang w:eastAsia="en-IE"/>
              </w:rPr>
              <w:t>table of current and projected residential and other activities,</w:t>
            </w:r>
          </w:p>
          <w:p w14:paraId="590501DA" w14:textId="77777777" w:rsidR="00B32F91" w:rsidRPr="00903C62" w:rsidRDefault="00B32F91" w:rsidP="00B32F91">
            <w:pPr>
              <w:numPr>
                <w:ilvl w:val="0"/>
                <w:numId w:val="35"/>
              </w:numPr>
              <w:spacing w:after="160" w:line="256" w:lineRule="auto"/>
              <w:ind w:left="454" w:hanging="227"/>
              <w:contextualSpacing/>
              <w:jc w:val="both"/>
              <w:rPr>
                <w:rFonts w:eastAsia="Batang" w:cstheme="minorHAnsi"/>
                <w:sz w:val="22"/>
                <w:szCs w:val="22"/>
                <w:lang w:eastAsia="en-IE"/>
              </w:rPr>
            </w:pPr>
            <w:r w:rsidRPr="00903C62">
              <w:rPr>
                <w:rFonts w:eastAsia="Batang" w:cstheme="minorHAnsi"/>
                <w:sz w:val="22"/>
                <w:szCs w:val="22"/>
                <w:lang w:eastAsia="en-IE"/>
              </w:rPr>
              <w:t xml:space="preserve">statement of housing impacts arising from the proposed project. </w:t>
            </w:r>
          </w:p>
          <w:p w14:paraId="3024F691" w14:textId="77777777" w:rsidR="00B32F91" w:rsidRPr="00903C62" w:rsidRDefault="00B32F91" w:rsidP="002B26F3">
            <w:pPr>
              <w:spacing w:after="160" w:line="256" w:lineRule="auto"/>
              <w:ind w:left="1080"/>
              <w:contextualSpacing/>
              <w:jc w:val="both"/>
              <w:rPr>
                <w:rFonts w:eastAsia="Batang" w:cstheme="minorHAnsi"/>
                <w:sz w:val="22"/>
                <w:szCs w:val="22"/>
                <w:lang w:eastAsia="en-IE"/>
              </w:rPr>
            </w:pPr>
          </w:p>
          <w:p w14:paraId="1513E182" w14:textId="77777777" w:rsidR="00B32F91" w:rsidRPr="00903C62" w:rsidRDefault="00B32F91" w:rsidP="00B32F91">
            <w:pPr>
              <w:numPr>
                <w:ilvl w:val="0"/>
                <w:numId w:val="35"/>
              </w:numPr>
              <w:spacing w:after="160" w:line="256" w:lineRule="auto"/>
              <w:ind w:left="227" w:hanging="227"/>
              <w:contextualSpacing/>
              <w:jc w:val="both"/>
              <w:rPr>
                <w:rFonts w:eastAsia="Batang" w:cstheme="minorHAnsi"/>
                <w:sz w:val="22"/>
                <w:szCs w:val="22"/>
                <w:lang w:eastAsia="en-IE"/>
              </w:rPr>
            </w:pPr>
            <w:r w:rsidRPr="00903C62">
              <w:rPr>
                <w:rFonts w:eastAsia="Batang" w:cstheme="minorHAnsi"/>
                <w:b/>
                <w:bCs/>
                <w:sz w:val="22"/>
                <w:szCs w:val="22"/>
                <w:lang w:eastAsia="en-IE"/>
              </w:rPr>
              <w:t xml:space="preserve">Step 2: </w:t>
            </w:r>
            <w:r w:rsidRPr="00903C62">
              <w:rPr>
                <w:rFonts w:eastAsia="Batang" w:cstheme="minorHAnsi"/>
                <w:sz w:val="22"/>
                <w:szCs w:val="22"/>
                <w:lang w:eastAsia="en-IE"/>
              </w:rPr>
              <w:t>The Housing Impacts Statement will be assessed to determine project eligibility and maximum grant per job.</w:t>
            </w:r>
          </w:p>
        </w:tc>
      </w:tr>
      <w:tr w:rsidR="00B32F91" w:rsidRPr="00370A2B" w14:paraId="2DF71572" w14:textId="77777777" w:rsidTr="00914829">
        <w:trPr>
          <w:trHeight w:val="20"/>
        </w:trPr>
        <w:tc>
          <w:tcPr>
            <w:tcW w:w="1398" w:type="dxa"/>
            <w:shd w:val="clear" w:color="auto" w:fill="CFD5EA"/>
          </w:tcPr>
          <w:p w14:paraId="58958555" w14:textId="77777777" w:rsidR="00B32F91" w:rsidRPr="00903C62" w:rsidRDefault="00B32F91" w:rsidP="002B26F3">
            <w:pPr>
              <w:spacing w:after="160" w:line="256" w:lineRule="auto"/>
              <w:jc w:val="both"/>
              <w:rPr>
                <w:rFonts w:eastAsia="Batang" w:cstheme="minorHAnsi"/>
                <w:b/>
                <w:bCs/>
                <w:sz w:val="22"/>
                <w:szCs w:val="22"/>
                <w:lang w:eastAsia="en-IE"/>
              </w:rPr>
            </w:pPr>
            <w:r w:rsidRPr="00903C62">
              <w:rPr>
                <w:rFonts w:eastAsia="Batang" w:cstheme="minorHAnsi"/>
                <w:b/>
                <w:bCs/>
                <w:sz w:val="22"/>
                <w:szCs w:val="22"/>
                <w:lang w:eastAsia="en-IE"/>
              </w:rPr>
              <w:t>Client Registration:</w:t>
            </w:r>
          </w:p>
        </w:tc>
        <w:tc>
          <w:tcPr>
            <w:tcW w:w="8524" w:type="dxa"/>
            <w:shd w:val="clear" w:color="auto" w:fill="E9EBF5"/>
          </w:tcPr>
          <w:p w14:paraId="7B28FA26" w14:textId="77777777" w:rsidR="00B32F91" w:rsidRPr="00903C62" w:rsidRDefault="00B32F91" w:rsidP="00B32F91">
            <w:pPr>
              <w:numPr>
                <w:ilvl w:val="0"/>
                <w:numId w:val="34"/>
              </w:numPr>
              <w:spacing w:after="160" w:line="256" w:lineRule="auto"/>
              <w:ind w:left="227" w:hanging="227"/>
              <w:contextualSpacing/>
              <w:jc w:val="both"/>
              <w:rPr>
                <w:rFonts w:eastAsia="Batang" w:cstheme="minorHAnsi"/>
                <w:sz w:val="22"/>
                <w:szCs w:val="22"/>
                <w:lang w:eastAsia="en-IE"/>
              </w:rPr>
            </w:pPr>
            <w:r w:rsidRPr="00903C62">
              <w:rPr>
                <w:rFonts w:eastAsia="Batang" w:cstheme="minorHAnsi"/>
                <w:sz w:val="22"/>
                <w:szCs w:val="22"/>
                <w:lang w:eastAsia="en-IE"/>
              </w:rPr>
              <w:t>Non-EI clients will be registered as temporary clients on the CES.</w:t>
            </w:r>
          </w:p>
          <w:p w14:paraId="6E116FB3" w14:textId="77777777" w:rsidR="00B32F91" w:rsidRPr="00903C62" w:rsidRDefault="00B32F91" w:rsidP="002B26F3">
            <w:pPr>
              <w:spacing w:after="160" w:line="256" w:lineRule="auto"/>
              <w:jc w:val="both"/>
              <w:rPr>
                <w:rFonts w:eastAsia="Batang" w:cstheme="minorHAnsi"/>
                <w:sz w:val="22"/>
                <w:szCs w:val="22"/>
              </w:rPr>
            </w:pPr>
          </w:p>
        </w:tc>
      </w:tr>
      <w:tr w:rsidR="00B32F91" w:rsidRPr="00370A2B" w14:paraId="3AF1DF28" w14:textId="77777777" w:rsidTr="00914829">
        <w:trPr>
          <w:trHeight w:val="20"/>
        </w:trPr>
        <w:tc>
          <w:tcPr>
            <w:tcW w:w="1398" w:type="dxa"/>
            <w:shd w:val="clear" w:color="auto" w:fill="CFD5EA"/>
          </w:tcPr>
          <w:p w14:paraId="7AFE9425" w14:textId="77777777" w:rsidR="00B32F91" w:rsidRPr="00903C62" w:rsidRDefault="00B32F91" w:rsidP="002B26F3">
            <w:pPr>
              <w:spacing w:after="160" w:line="256" w:lineRule="auto"/>
              <w:jc w:val="both"/>
              <w:rPr>
                <w:rFonts w:eastAsia="Batang" w:cstheme="minorHAnsi"/>
                <w:sz w:val="22"/>
                <w:szCs w:val="22"/>
              </w:rPr>
            </w:pPr>
            <w:r w:rsidRPr="00903C62">
              <w:rPr>
                <w:rFonts w:eastAsia="Batang" w:cstheme="minorHAnsi"/>
                <w:b/>
                <w:bCs/>
                <w:sz w:val="22"/>
                <w:szCs w:val="22"/>
                <w:lang w:eastAsia="en-IE"/>
              </w:rPr>
              <w:t>Application Process:</w:t>
            </w:r>
          </w:p>
        </w:tc>
        <w:tc>
          <w:tcPr>
            <w:tcW w:w="8524" w:type="dxa"/>
            <w:shd w:val="clear" w:color="auto" w:fill="E9EBF5"/>
          </w:tcPr>
          <w:p w14:paraId="13865890" w14:textId="77777777" w:rsidR="00B32F91" w:rsidRPr="00903C62" w:rsidRDefault="00B32F91" w:rsidP="00B32F91">
            <w:pPr>
              <w:numPr>
                <w:ilvl w:val="0"/>
                <w:numId w:val="34"/>
              </w:numPr>
              <w:spacing w:after="160" w:line="256" w:lineRule="auto"/>
              <w:ind w:left="227" w:hanging="227"/>
              <w:contextualSpacing/>
              <w:jc w:val="both"/>
              <w:rPr>
                <w:rFonts w:eastAsia="Batang" w:cstheme="minorHAnsi"/>
                <w:sz w:val="22"/>
                <w:szCs w:val="22"/>
              </w:rPr>
            </w:pPr>
            <w:r w:rsidRPr="00903C62">
              <w:rPr>
                <w:rFonts w:eastAsia="Batang" w:cstheme="minorHAnsi"/>
                <w:sz w:val="22"/>
                <w:szCs w:val="22"/>
              </w:rPr>
              <w:t xml:space="preserve">Following assessment of a Housing Impacts Statement, a formal application will be submitted using existing application documents. The current process for the management of these applications will be used. </w:t>
            </w:r>
          </w:p>
          <w:p w14:paraId="24004F60" w14:textId="77777777" w:rsidR="00B32F91" w:rsidRPr="00903C62" w:rsidRDefault="00B32F91" w:rsidP="00B32F91">
            <w:pPr>
              <w:numPr>
                <w:ilvl w:val="0"/>
                <w:numId w:val="34"/>
              </w:numPr>
              <w:spacing w:after="160" w:line="256" w:lineRule="auto"/>
              <w:ind w:left="227" w:hanging="227"/>
              <w:contextualSpacing/>
              <w:jc w:val="both"/>
              <w:rPr>
                <w:rFonts w:eastAsia="Batang" w:cstheme="minorHAnsi"/>
                <w:sz w:val="22"/>
                <w:szCs w:val="22"/>
              </w:rPr>
            </w:pPr>
            <w:r w:rsidRPr="00903C62">
              <w:rPr>
                <w:rFonts w:eastAsia="Batang" w:cstheme="minorHAnsi"/>
                <w:sz w:val="22"/>
                <w:szCs w:val="22"/>
              </w:rPr>
              <w:t xml:space="preserve">The current commercial and technical due diligence process will be conducted. This will include the project team analysing the nature of the project for the purpose of determining package size. </w:t>
            </w:r>
          </w:p>
        </w:tc>
      </w:tr>
      <w:tr w:rsidR="00B32F91" w:rsidRPr="00370A2B" w14:paraId="4F21A55D" w14:textId="77777777" w:rsidTr="00914829">
        <w:trPr>
          <w:trHeight w:val="20"/>
        </w:trPr>
        <w:tc>
          <w:tcPr>
            <w:tcW w:w="1398" w:type="dxa"/>
            <w:shd w:val="clear" w:color="auto" w:fill="CFD5EA"/>
          </w:tcPr>
          <w:p w14:paraId="6C0ACDBB" w14:textId="77777777" w:rsidR="00B32F91" w:rsidRPr="00903C62" w:rsidRDefault="00B32F91" w:rsidP="002B26F3">
            <w:pPr>
              <w:spacing w:after="160" w:line="256" w:lineRule="auto"/>
              <w:jc w:val="both"/>
              <w:rPr>
                <w:rFonts w:eastAsia="Batang" w:cstheme="minorHAnsi"/>
                <w:sz w:val="22"/>
                <w:szCs w:val="22"/>
              </w:rPr>
            </w:pPr>
            <w:r w:rsidRPr="00903C62">
              <w:rPr>
                <w:rFonts w:eastAsia="Batang" w:cstheme="minorHAnsi"/>
                <w:b/>
                <w:bCs/>
                <w:sz w:val="22"/>
                <w:szCs w:val="22"/>
                <w:lang w:eastAsia="en-IE"/>
              </w:rPr>
              <w:t>Approval Process:</w:t>
            </w:r>
          </w:p>
        </w:tc>
        <w:tc>
          <w:tcPr>
            <w:tcW w:w="8524" w:type="dxa"/>
            <w:shd w:val="clear" w:color="auto" w:fill="E9EBF5"/>
          </w:tcPr>
          <w:p w14:paraId="758374B8" w14:textId="77777777" w:rsidR="00B32F91" w:rsidRPr="00903C62" w:rsidRDefault="00B32F91" w:rsidP="00B32F91">
            <w:pPr>
              <w:numPr>
                <w:ilvl w:val="0"/>
                <w:numId w:val="34"/>
              </w:numPr>
              <w:spacing w:after="160" w:line="256" w:lineRule="auto"/>
              <w:ind w:left="227" w:hanging="227"/>
              <w:contextualSpacing/>
              <w:jc w:val="both"/>
              <w:rPr>
                <w:rFonts w:eastAsia="Batang" w:cstheme="minorHAnsi"/>
                <w:sz w:val="22"/>
                <w:szCs w:val="22"/>
              </w:rPr>
            </w:pPr>
            <w:r w:rsidRPr="00903C62">
              <w:rPr>
                <w:rFonts w:eastAsia="Batang" w:cstheme="minorHAnsi"/>
                <w:sz w:val="22"/>
                <w:szCs w:val="22"/>
                <w:lang w:eastAsia="en-IE"/>
              </w:rPr>
              <w:t>The only change to existing approval processes will be the inclusion of a Housing Impacts Statement in the online or Committee proposal document.</w:t>
            </w:r>
          </w:p>
        </w:tc>
      </w:tr>
      <w:tr w:rsidR="00B32F91" w:rsidRPr="00370A2B" w14:paraId="0BA7A8E0" w14:textId="77777777" w:rsidTr="00914829">
        <w:trPr>
          <w:trHeight w:val="20"/>
        </w:trPr>
        <w:tc>
          <w:tcPr>
            <w:tcW w:w="1398" w:type="dxa"/>
            <w:shd w:val="clear" w:color="auto" w:fill="CFD5EA"/>
          </w:tcPr>
          <w:p w14:paraId="58D1B7A0" w14:textId="77777777" w:rsidR="00B32F91" w:rsidRPr="00903C62" w:rsidRDefault="00B32F91" w:rsidP="002B26F3">
            <w:pPr>
              <w:spacing w:after="160" w:line="256" w:lineRule="auto"/>
              <w:jc w:val="both"/>
              <w:rPr>
                <w:rFonts w:eastAsia="Batang" w:cstheme="minorHAnsi"/>
                <w:b/>
                <w:bCs/>
                <w:sz w:val="22"/>
                <w:szCs w:val="22"/>
                <w:lang w:eastAsia="en-IE"/>
              </w:rPr>
            </w:pPr>
            <w:r w:rsidRPr="00903C62">
              <w:rPr>
                <w:rFonts w:eastAsia="Batang" w:cstheme="minorHAnsi"/>
                <w:b/>
                <w:bCs/>
                <w:sz w:val="22"/>
                <w:szCs w:val="22"/>
                <w:lang w:eastAsia="en-IE"/>
              </w:rPr>
              <w:t>Post Approval</w:t>
            </w:r>
          </w:p>
        </w:tc>
        <w:tc>
          <w:tcPr>
            <w:tcW w:w="8524" w:type="dxa"/>
            <w:shd w:val="clear" w:color="auto" w:fill="E9EBF5"/>
          </w:tcPr>
          <w:p w14:paraId="007E62F9" w14:textId="77777777" w:rsidR="00B32F91" w:rsidRPr="00903C62" w:rsidRDefault="00B32F91" w:rsidP="00B32F91">
            <w:pPr>
              <w:numPr>
                <w:ilvl w:val="0"/>
                <w:numId w:val="34"/>
              </w:numPr>
              <w:spacing w:after="160" w:line="256" w:lineRule="auto"/>
              <w:ind w:left="227" w:hanging="227"/>
              <w:contextualSpacing/>
              <w:jc w:val="both"/>
              <w:rPr>
                <w:rFonts w:eastAsia="Batang" w:cstheme="minorHAnsi"/>
                <w:sz w:val="22"/>
                <w:szCs w:val="22"/>
                <w:lang w:eastAsia="en-IE"/>
              </w:rPr>
            </w:pPr>
            <w:r w:rsidRPr="00903C62">
              <w:rPr>
                <w:rFonts w:eastAsia="Batang" w:cstheme="minorHAnsi"/>
                <w:sz w:val="22"/>
                <w:szCs w:val="22"/>
                <w:lang w:eastAsia="en-IE"/>
              </w:rPr>
              <w:t>Projects will be tagged on the CES as Housing for All related by the Housing team</w:t>
            </w:r>
          </w:p>
        </w:tc>
      </w:tr>
    </w:tbl>
    <w:p w14:paraId="3A06589E" w14:textId="77777777" w:rsidR="00B32F91" w:rsidRPr="00370A2B" w:rsidRDefault="00B32F91" w:rsidP="00FF47D8">
      <w:pPr>
        <w:spacing w:line="256" w:lineRule="auto"/>
        <w:jc w:val="both"/>
        <w:rPr>
          <w:rFonts w:cstheme="minorHAnsi"/>
          <w:b/>
          <w:bCs/>
          <w:sz w:val="22"/>
          <w:szCs w:val="22"/>
        </w:rPr>
      </w:pPr>
    </w:p>
    <w:p w14:paraId="20827011" w14:textId="77777777" w:rsidR="00B32F91" w:rsidRPr="00903C62" w:rsidRDefault="00B32F91" w:rsidP="00FF47D8">
      <w:pPr>
        <w:spacing w:line="276" w:lineRule="auto"/>
        <w:jc w:val="both"/>
        <w:rPr>
          <w:rFonts w:asciiTheme="minorHAnsi" w:eastAsia="Times New Roman" w:hAnsiTheme="minorHAnsi" w:cstheme="minorHAnsi"/>
          <w:bCs/>
          <w:sz w:val="22"/>
          <w:szCs w:val="22"/>
        </w:rPr>
      </w:pPr>
      <w:r w:rsidRPr="00903C62">
        <w:rPr>
          <w:rFonts w:asciiTheme="minorHAnsi" w:eastAsia="Times New Roman" w:hAnsiTheme="minorHAnsi" w:cstheme="minorHAnsi"/>
          <w:bCs/>
          <w:sz w:val="22"/>
          <w:szCs w:val="22"/>
        </w:rPr>
        <w:t xml:space="preserve">Enquiries from ineligible companies or companies with ineligible projects will be adjudicated on by the Department Manager responsible for Housing and recorded by the Housing team. </w:t>
      </w:r>
    </w:p>
    <w:p w14:paraId="4712030F" w14:textId="77777777" w:rsidR="00B32F91" w:rsidRPr="00EA1E6B" w:rsidRDefault="00B32F91" w:rsidP="00FF47D8">
      <w:pPr>
        <w:spacing w:line="276" w:lineRule="auto"/>
        <w:jc w:val="both"/>
        <w:rPr>
          <w:rFonts w:ascii="Arial" w:eastAsia="Times New Roman" w:hAnsi="Arial" w:cs="Arial"/>
          <w:bCs/>
          <w:sz w:val="22"/>
          <w:szCs w:val="22"/>
        </w:rPr>
      </w:pPr>
    </w:p>
    <w:p w14:paraId="190C29D9" w14:textId="77777777" w:rsidR="00B32F91" w:rsidRPr="00903C62" w:rsidRDefault="00B32F91" w:rsidP="00FF47D8">
      <w:pPr>
        <w:spacing w:line="276" w:lineRule="auto"/>
        <w:rPr>
          <w:rFonts w:asciiTheme="majorHAnsi" w:hAnsiTheme="majorHAnsi" w:cstheme="majorHAnsi"/>
          <w:b/>
          <w:bCs/>
          <w:color w:val="2F5496" w:themeColor="accent1" w:themeShade="BF"/>
          <w:sz w:val="22"/>
          <w:szCs w:val="22"/>
        </w:rPr>
      </w:pPr>
      <w:r w:rsidRPr="00903C62">
        <w:rPr>
          <w:rFonts w:asciiTheme="majorHAnsi" w:hAnsiTheme="majorHAnsi" w:cstheme="majorHAnsi"/>
          <w:b/>
          <w:bCs/>
          <w:color w:val="2F5496" w:themeColor="accent1" w:themeShade="BF"/>
          <w:sz w:val="22"/>
          <w:szCs w:val="22"/>
        </w:rPr>
        <w:t>3.3 Evaluation and Approval Process</w:t>
      </w:r>
    </w:p>
    <w:p w14:paraId="02AE23AE" w14:textId="77777777" w:rsidR="00B32F91" w:rsidRPr="00903C62" w:rsidRDefault="00B32F91" w:rsidP="00FF47D8">
      <w:pPr>
        <w:spacing w:line="276" w:lineRule="auto"/>
        <w:jc w:val="both"/>
        <w:rPr>
          <w:rFonts w:asciiTheme="minorHAnsi" w:eastAsia="Times New Roman" w:hAnsiTheme="minorHAnsi" w:cstheme="minorHAnsi"/>
          <w:bCs/>
          <w:sz w:val="22"/>
          <w:szCs w:val="22"/>
        </w:rPr>
      </w:pPr>
      <w:r w:rsidRPr="00903C62">
        <w:rPr>
          <w:rFonts w:asciiTheme="minorHAnsi" w:eastAsia="Times New Roman" w:hAnsiTheme="minorHAnsi" w:cstheme="minorHAnsi"/>
          <w:bCs/>
          <w:sz w:val="22"/>
          <w:szCs w:val="22"/>
        </w:rPr>
        <w:t xml:space="preserve">Applications received will be processed within the current Enterprise Ireland approvals structures for the </w:t>
      </w:r>
      <w:r w:rsidRPr="00903C62">
        <w:rPr>
          <w:rFonts w:asciiTheme="minorHAnsi" w:hAnsiTheme="minorHAnsi" w:cstheme="minorHAnsi"/>
          <w:color w:val="000000" w:themeColor="text1"/>
          <w:sz w:val="22"/>
          <w:szCs w:val="22"/>
        </w:rPr>
        <w:t xml:space="preserve">relevant grant </w:t>
      </w:r>
      <w:r w:rsidRPr="00903C62">
        <w:rPr>
          <w:rFonts w:asciiTheme="minorHAnsi" w:eastAsia="Times New Roman" w:hAnsiTheme="minorHAnsi" w:cstheme="minorHAnsi"/>
          <w:bCs/>
          <w:sz w:val="22"/>
          <w:szCs w:val="22"/>
        </w:rPr>
        <w:t xml:space="preserve">with the same grant aid limits being applied. </w:t>
      </w:r>
    </w:p>
    <w:p w14:paraId="6D9B8660" w14:textId="77777777" w:rsidR="00B32F91" w:rsidRPr="00EA1E6B" w:rsidRDefault="00B32F91" w:rsidP="00FF47D8">
      <w:pPr>
        <w:spacing w:line="276" w:lineRule="auto"/>
        <w:jc w:val="both"/>
        <w:rPr>
          <w:rFonts w:ascii="Arial" w:eastAsia="Times New Roman" w:hAnsi="Arial" w:cs="Arial"/>
          <w:bCs/>
          <w:sz w:val="22"/>
          <w:szCs w:val="22"/>
        </w:rPr>
      </w:pPr>
    </w:p>
    <w:p w14:paraId="027F0B9D" w14:textId="77777777" w:rsidR="00B32F91" w:rsidRPr="00903C62" w:rsidRDefault="00B32F91" w:rsidP="4267B602">
      <w:pPr>
        <w:spacing w:line="276" w:lineRule="auto"/>
        <w:jc w:val="both"/>
        <w:rPr>
          <w:rFonts w:asciiTheme="majorHAnsi" w:eastAsia="Times New Roman" w:hAnsiTheme="majorHAnsi" w:cstheme="majorBidi"/>
          <w:color w:val="2F5496" w:themeColor="accent1" w:themeShade="BF"/>
          <w:sz w:val="22"/>
          <w:szCs w:val="22"/>
          <w:highlight w:val="yellow"/>
        </w:rPr>
      </w:pPr>
      <w:r w:rsidRPr="4267B602">
        <w:rPr>
          <w:rFonts w:asciiTheme="majorHAnsi" w:hAnsiTheme="majorHAnsi" w:cstheme="majorBidi"/>
          <w:b/>
          <w:bCs/>
          <w:color w:val="2F5496" w:themeColor="accent1" w:themeShade="BF"/>
          <w:sz w:val="22"/>
          <w:szCs w:val="22"/>
          <w:highlight w:val="yellow"/>
        </w:rPr>
        <w:t>Assessment Process</w:t>
      </w:r>
    </w:p>
    <w:p w14:paraId="5EED3E74" w14:textId="77777777" w:rsidR="00B32F91" w:rsidRPr="00903C62" w:rsidRDefault="00B32F91" w:rsidP="4267B602">
      <w:pPr>
        <w:spacing w:line="276" w:lineRule="auto"/>
        <w:jc w:val="both"/>
        <w:rPr>
          <w:rFonts w:asciiTheme="minorHAnsi" w:hAnsiTheme="minorHAnsi" w:cstheme="minorBidi"/>
          <w:color w:val="000000" w:themeColor="text1"/>
          <w:sz w:val="22"/>
          <w:szCs w:val="22"/>
          <w:highlight w:val="yellow"/>
        </w:rPr>
      </w:pPr>
      <w:r w:rsidRPr="4267B602">
        <w:rPr>
          <w:rFonts w:asciiTheme="minorHAnsi" w:hAnsiTheme="minorHAnsi" w:cstheme="minorBidi"/>
          <w:color w:val="000000" w:themeColor="text1"/>
          <w:sz w:val="22"/>
          <w:szCs w:val="22"/>
          <w:highlight w:val="yellow"/>
        </w:rPr>
        <w:t>The Value for Money measures of cost per job and Cost Benefit ratio will continue to be relevant. There is no requirement for projects to show exports or export growth and as such an alternate assessment is required to ensure that the objectives of the initiative are being achieved, namely: A project must have a demonstrable impact on homebuilding by accelerating the delivery of new homes and/or reducing the cost of home building.</w:t>
      </w:r>
    </w:p>
    <w:p w14:paraId="4E81DFBA" w14:textId="77777777" w:rsidR="00B32F91" w:rsidRPr="00903C62" w:rsidRDefault="00B32F91" w:rsidP="4267B602">
      <w:pPr>
        <w:spacing w:line="276" w:lineRule="auto"/>
        <w:jc w:val="both"/>
        <w:rPr>
          <w:rFonts w:asciiTheme="minorHAnsi" w:hAnsiTheme="minorHAnsi" w:cstheme="minorBidi"/>
          <w:color w:val="000000" w:themeColor="text1"/>
          <w:sz w:val="22"/>
          <w:szCs w:val="22"/>
          <w:highlight w:val="yellow"/>
        </w:rPr>
      </w:pPr>
    </w:p>
    <w:p w14:paraId="6770CF84" w14:textId="77777777" w:rsidR="00B32F91" w:rsidRPr="00903C62" w:rsidRDefault="00B32F91" w:rsidP="00FF47D8">
      <w:pPr>
        <w:spacing w:line="276" w:lineRule="auto"/>
        <w:jc w:val="both"/>
        <w:rPr>
          <w:rFonts w:asciiTheme="minorHAnsi" w:hAnsiTheme="minorHAnsi" w:cstheme="minorHAnsi"/>
          <w:color w:val="000000" w:themeColor="text1"/>
          <w:sz w:val="22"/>
          <w:szCs w:val="22"/>
        </w:rPr>
      </w:pPr>
      <w:r w:rsidRPr="00903C62">
        <w:rPr>
          <w:rFonts w:asciiTheme="minorHAnsi" w:hAnsiTheme="minorHAnsi" w:cstheme="minorHAnsi"/>
          <w:color w:val="000000" w:themeColor="text1"/>
          <w:sz w:val="22"/>
          <w:szCs w:val="22"/>
        </w:rPr>
        <w:t xml:space="preserve">In addition to the assessment process established for the Digital Discovery grant, the application will also be subject to the assessment process that has been established for Introductory Projects under the </w:t>
      </w:r>
      <w:r w:rsidRPr="00903C62">
        <w:rPr>
          <w:rFonts w:asciiTheme="minorHAnsi" w:hAnsiTheme="minorHAnsi" w:cstheme="minorHAnsi"/>
          <w:i/>
          <w:iCs/>
          <w:color w:val="000000" w:themeColor="text1"/>
          <w:sz w:val="22"/>
          <w:szCs w:val="22"/>
        </w:rPr>
        <w:t xml:space="preserve">Housing for All Offer. </w:t>
      </w:r>
      <w:r w:rsidRPr="00903C62">
        <w:rPr>
          <w:rFonts w:asciiTheme="minorHAnsi" w:hAnsiTheme="minorHAnsi" w:cstheme="minorHAnsi"/>
          <w:color w:val="000000" w:themeColor="text1"/>
          <w:sz w:val="22"/>
          <w:szCs w:val="22"/>
        </w:rPr>
        <w:t>This is detailed below:</w:t>
      </w:r>
    </w:p>
    <w:p w14:paraId="6DD5D8D6" w14:textId="77777777" w:rsidR="00B32F91" w:rsidRPr="00903C62" w:rsidRDefault="00B32F91" w:rsidP="00FF47D8">
      <w:pPr>
        <w:spacing w:line="276" w:lineRule="auto"/>
        <w:jc w:val="both"/>
        <w:rPr>
          <w:rFonts w:asciiTheme="minorHAnsi" w:hAnsiTheme="minorHAnsi" w:cstheme="minorHAnsi"/>
          <w:i/>
          <w:iCs/>
          <w:color w:val="000000" w:themeColor="text1"/>
          <w:sz w:val="22"/>
          <w:szCs w:val="22"/>
        </w:rPr>
      </w:pPr>
      <w:r w:rsidRPr="00903C62">
        <w:rPr>
          <w:rFonts w:asciiTheme="minorHAnsi" w:hAnsiTheme="minorHAnsi" w:cstheme="minorHAnsi"/>
          <w:i/>
          <w:iCs/>
          <w:color w:val="000000" w:themeColor="text1"/>
          <w:sz w:val="22"/>
          <w:szCs w:val="22"/>
        </w:rPr>
        <w:t>Introductory Projects</w:t>
      </w:r>
    </w:p>
    <w:p w14:paraId="3FEC7A6F" w14:textId="77777777" w:rsidR="00B32F91" w:rsidRPr="00903C62" w:rsidRDefault="00B32F91" w:rsidP="00B32F91">
      <w:pPr>
        <w:numPr>
          <w:ilvl w:val="0"/>
          <w:numId w:val="36"/>
        </w:numPr>
        <w:spacing w:line="276" w:lineRule="auto"/>
        <w:contextualSpacing/>
        <w:jc w:val="both"/>
        <w:rPr>
          <w:rFonts w:asciiTheme="minorHAnsi" w:hAnsiTheme="minorHAnsi" w:cstheme="minorHAnsi"/>
          <w:color w:val="000000" w:themeColor="text1"/>
          <w:sz w:val="22"/>
          <w:szCs w:val="22"/>
        </w:rPr>
      </w:pPr>
      <w:r w:rsidRPr="00903C62">
        <w:rPr>
          <w:rFonts w:asciiTheme="minorHAnsi" w:hAnsiTheme="minorHAnsi" w:cstheme="minorHAnsi"/>
          <w:color w:val="000000" w:themeColor="text1"/>
          <w:sz w:val="22"/>
          <w:szCs w:val="22"/>
        </w:rPr>
        <w:t>Introductory Projects (of €10k grant aid or less) must satisfy the eligibility criteria of number of employees, having 20% of revenue derived from Homebuilding and that the intention of the project will support productivity or efficiency improvements.</w:t>
      </w:r>
    </w:p>
    <w:p w14:paraId="06A13F50" w14:textId="77777777" w:rsidR="00EA1E6B" w:rsidRDefault="00EA1E6B" w:rsidP="00320B68">
      <w:pPr>
        <w:spacing w:line="276" w:lineRule="auto"/>
        <w:ind w:left="720"/>
        <w:contextualSpacing/>
        <w:jc w:val="both"/>
        <w:rPr>
          <w:rFonts w:ascii="Arial" w:hAnsi="Arial" w:cs="Arial"/>
          <w:color w:val="000000" w:themeColor="text1"/>
          <w:sz w:val="22"/>
          <w:szCs w:val="22"/>
        </w:rPr>
      </w:pPr>
    </w:p>
    <w:p w14:paraId="045D31BD" w14:textId="77777777" w:rsidR="00903C62" w:rsidRDefault="00903C62" w:rsidP="00320B68">
      <w:pPr>
        <w:spacing w:line="276" w:lineRule="auto"/>
        <w:ind w:left="720"/>
        <w:contextualSpacing/>
        <w:jc w:val="both"/>
        <w:rPr>
          <w:rFonts w:ascii="Arial" w:hAnsi="Arial" w:cs="Arial"/>
          <w:color w:val="000000" w:themeColor="text1"/>
          <w:sz w:val="22"/>
          <w:szCs w:val="22"/>
        </w:rPr>
      </w:pPr>
    </w:p>
    <w:p w14:paraId="591BD88D" w14:textId="77777777" w:rsidR="00903C62" w:rsidRPr="00EA1E6B" w:rsidRDefault="00903C62" w:rsidP="00320B68">
      <w:pPr>
        <w:spacing w:line="276" w:lineRule="auto"/>
        <w:ind w:left="720"/>
        <w:contextualSpacing/>
        <w:jc w:val="both"/>
        <w:rPr>
          <w:rFonts w:ascii="Arial" w:hAnsi="Arial" w:cs="Arial"/>
          <w:color w:val="000000" w:themeColor="text1"/>
          <w:sz w:val="22"/>
          <w:szCs w:val="22"/>
        </w:rPr>
      </w:pPr>
    </w:p>
    <w:p w14:paraId="6E21D55B" w14:textId="77777777" w:rsidR="00B32F91" w:rsidRPr="00EA1E6B" w:rsidRDefault="00B32F91" w:rsidP="00FF47D8">
      <w:pPr>
        <w:spacing w:line="276" w:lineRule="auto"/>
        <w:ind w:left="720"/>
        <w:contextualSpacing/>
        <w:jc w:val="both"/>
        <w:rPr>
          <w:rFonts w:ascii="Arial" w:hAnsi="Arial" w:cs="Arial"/>
          <w:color w:val="000000" w:themeColor="text1"/>
          <w:sz w:val="22"/>
          <w:szCs w:val="22"/>
        </w:rPr>
      </w:pPr>
    </w:p>
    <w:p w14:paraId="2302E684" w14:textId="77777777" w:rsidR="00B32F91" w:rsidRPr="00903C62" w:rsidRDefault="00B32F91" w:rsidP="00FF47D8">
      <w:pPr>
        <w:spacing w:line="276" w:lineRule="auto"/>
        <w:rPr>
          <w:rFonts w:asciiTheme="majorHAnsi" w:hAnsiTheme="majorHAnsi" w:cstheme="majorHAnsi"/>
          <w:b/>
          <w:bCs/>
          <w:color w:val="2F5496" w:themeColor="accent1" w:themeShade="BF"/>
          <w:sz w:val="22"/>
          <w:szCs w:val="22"/>
        </w:rPr>
      </w:pPr>
      <w:r w:rsidRPr="00903C62">
        <w:rPr>
          <w:rFonts w:asciiTheme="majorHAnsi" w:hAnsiTheme="majorHAnsi" w:cstheme="majorHAnsi"/>
          <w:b/>
          <w:bCs/>
          <w:color w:val="2F5496" w:themeColor="accent1" w:themeShade="BF"/>
          <w:sz w:val="22"/>
          <w:szCs w:val="22"/>
        </w:rPr>
        <w:lastRenderedPageBreak/>
        <w:t xml:space="preserve">3.4 Closing Date for Applicants </w:t>
      </w:r>
    </w:p>
    <w:p w14:paraId="41522381" w14:textId="77777777" w:rsidR="00B32F91" w:rsidRPr="00EA1E6B" w:rsidRDefault="00B32F91" w:rsidP="00180926">
      <w:pPr>
        <w:textAlignment w:val="baseline"/>
        <w:rPr>
          <w:rFonts w:ascii="Arial" w:eastAsia="Times New Roman" w:hAnsi="Arial" w:cs="Arial"/>
          <w:sz w:val="22"/>
          <w:szCs w:val="22"/>
          <w:lang w:eastAsia="en-IE"/>
        </w:rPr>
      </w:pPr>
    </w:p>
    <w:p w14:paraId="0728E5A2" w14:textId="77777777" w:rsidR="00B32F91" w:rsidRPr="00903C62" w:rsidRDefault="00B32F91" w:rsidP="007A77B6">
      <w:pPr>
        <w:autoSpaceDE w:val="0"/>
        <w:autoSpaceDN w:val="0"/>
        <w:adjustRightInd w:val="0"/>
        <w:spacing w:line="276" w:lineRule="auto"/>
        <w:contextualSpacing/>
        <w:jc w:val="both"/>
        <w:rPr>
          <w:rFonts w:asciiTheme="minorHAnsi" w:eastAsia="Times New Roman" w:hAnsiTheme="minorHAnsi" w:cstheme="minorHAnsi"/>
          <w:i/>
          <w:iCs/>
          <w:sz w:val="22"/>
          <w:szCs w:val="22"/>
          <w:lang w:eastAsia="en-GB"/>
        </w:rPr>
      </w:pPr>
      <w:r w:rsidRPr="00903C62">
        <w:rPr>
          <w:rFonts w:asciiTheme="minorHAnsi" w:hAnsiTheme="minorHAnsi" w:cstheme="minorHAnsi"/>
          <w:sz w:val="22"/>
          <w:szCs w:val="22"/>
        </w:rPr>
        <w:t xml:space="preserve">This offer will be open to the domestic residential industry from March 2022 until the end of 2024 or until advised by Government. </w:t>
      </w:r>
    </w:p>
    <w:p w14:paraId="46FE1C31" w14:textId="77777777" w:rsidR="00B32F91" w:rsidRPr="00EA1E6B" w:rsidRDefault="00B32F91" w:rsidP="007A77B6">
      <w:pPr>
        <w:autoSpaceDE w:val="0"/>
        <w:autoSpaceDN w:val="0"/>
        <w:adjustRightInd w:val="0"/>
        <w:spacing w:line="276" w:lineRule="auto"/>
        <w:contextualSpacing/>
        <w:jc w:val="both"/>
        <w:rPr>
          <w:rFonts w:ascii="Arial" w:eastAsia="Times New Roman" w:hAnsi="Arial" w:cs="Arial"/>
          <w:b/>
          <w:bCs/>
          <w:i/>
          <w:iCs/>
          <w:color w:val="000000" w:themeColor="text1"/>
          <w:sz w:val="22"/>
          <w:szCs w:val="22"/>
          <w:lang w:eastAsia="en-GB"/>
        </w:rPr>
      </w:pPr>
    </w:p>
    <w:p w14:paraId="1D8C6150" w14:textId="77777777" w:rsidR="00B32F91" w:rsidRPr="00903C62" w:rsidRDefault="00B32F91" w:rsidP="007A77B6">
      <w:pPr>
        <w:spacing w:line="276" w:lineRule="auto"/>
        <w:jc w:val="both"/>
        <w:rPr>
          <w:rFonts w:asciiTheme="majorHAnsi" w:hAnsiTheme="majorHAnsi" w:cstheme="majorHAnsi"/>
          <w:b/>
          <w:bCs/>
          <w:color w:val="000000" w:themeColor="text1"/>
          <w:sz w:val="22"/>
          <w:szCs w:val="22"/>
        </w:rPr>
      </w:pPr>
      <w:r w:rsidRPr="00903C62">
        <w:rPr>
          <w:rFonts w:asciiTheme="majorHAnsi" w:hAnsiTheme="majorHAnsi" w:cstheme="majorHAnsi"/>
          <w:b/>
          <w:bCs/>
          <w:color w:val="000000" w:themeColor="text1"/>
          <w:sz w:val="22"/>
          <w:szCs w:val="22"/>
        </w:rPr>
        <w:t>3.5 Post Approval Claims Process</w:t>
      </w:r>
    </w:p>
    <w:p w14:paraId="2D7E07EA" w14:textId="06B188E0" w:rsidR="00B32F91" w:rsidRPr="00903C62" w:rsidRDefault="00B32F91" w:rsidP="003B2D41">
      <w:pPr>
        <w:rPr>
          <w:rFonts w:asciiTheme="minorHAnsi" w:hAnsiTheme="minorHAnsi" w:cstheme="minorHAnsi"/>
          <w:sz w:val="22"/>
          <w:szCs w:val="22"/>
        </w:rPr>
        <w:sectPr w:rsidR="00B32F91" w:rsidRPr="00903C62" w:rsidSect="00F57B05">
          <w:footerReference w:type="default" r:id="rId14"/>
          <w:headerReference w:type="first" r:id="rId15"/>
          <w:footerReference w:type="first" r:id="rId16"/>
          <w:pgSz w:w="11906" w:h="16838"/>
          <w:pgMar w:top="540" w:right="1797" w:bottom="0" w:left="1797" w:header="709" w:footer="709" w:gutter="0"/>
          <w:cols w:space="708"/>
          <w:docGrid w:linePitch="360"/>
        </w:sectPr>
      </w:pPr>
      <w:r w:rsidRPr="00903C62">
        <w:rPr>
          <w:rFonts w:asciiTheme="minorHAnsi" w:hAnsiTheme="minorHAnsi" w:cstheme="minorHAnsi"/>
          <w:sz w:val="22"/>
          <w:szCs w:val="22"/>
        </w:rPr>
        <w:t>The existing claims process will be used to draw down funding. The Development Advisors in the Housing team will provide claims clearance for the new temporary clients</w:t>
      </w:r>
      <w:r w:rsidR="005E7526">
        <w:rPr>
          <w:rFonts w:asciiTheme="minorHAnsi" w:hAnsiTheme="minorHAnsi" w:cstheme="minorHAnsi"/>
          <w:sz w:val="22"/>
          <w:szCs w:val="22"/>
        </w:rPr>
        <w:t>.</w:t>
      </w:r>
    </w:p>
    <w:p w14:paraId="66AD2102" w14:textId="46748481" w:rsidR="008A5F6F" w:rsidRPr="00DD0576" w:rsidRDefault="008A5F6F" w:rsidP="005E7526">
      <w:pPr>
        <w:rPr>
          <w:rFonts w:ascii="Arial" w:hAnsi="Arial" w:cs="Arial"/>
          <w:b/>
        </w:rPr>
      </w:pPr>
    </w:p>
    <w:sectPr w:rsidR="008A5F6F" w:rsidRPr="00DD0576" w:rsidSect="005E7526">
      <w:footerReference w:type="even" r:id="rId17"/>
      <w:footerReference w:type="default" r:id="rId18"/>
      <w:pgSz w:w="11906" w:h="16838"/>
      <w:pgMar w:top="540" w:right="1797" w:bottom="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D4144" w14:textId="77777777" w:rsidR="00176E23" w:rsidRDefault="00176E23" w:rsidP="00FB2745">
      <w:r>
        <w:separator/>
      </w:r>
    </w:p>
  </w:endnote>
  <w:endnote w:type="continuationSeparator" w:id="0">
    <w:p w14:paraId="514DD9F6" w14:textId="77777777" w:rsidR="00176E23" w:rsidRDefault="00176E23" w:rsidP="00FB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71CD" w14:textId="77777777" w:rsidR="00B32F91" w:rsidRPr="00F5315C" w:rsidRDefault="00B32F91" w:rsidP="00F5315C">
    <w:pPr>
      <w:tabs>
        <w:tab w:val="left" w:pos="-426"/>
        <w:tab w:val="left" w:pos="3969"/>
      </w:tabs>
      <w:ind w:right="-476"/>
      <w:rPr>
        <w:rFonts w:ascii="Arial" w:hAnsi="Arial" w:cs="Arial"/>
        <w:sz w:val="20"/>
        <w:szCs w:val="20"/>
      </w:rPr>
    </w:pPr>
    <w:r>
      <w:rPr>
        <w:rFonts w:ascii="Arial" w:hAnsi="Arial" w:cs="Arial"/>
        <w:sz w:val="20"/>
        <w:szCs w:val="20"/>
      </w:rPr>
      <w:tab/>
      <w:t xml:space="preserve">Page </w:t>
    </w:r>
    <w:r w:rsidRPr="00071A14">
      <w:rPr>
        <w:rFonts w:ascii="Arial" w:hAnsi="Arial" w:cs="Arial"/>
        <w:sz w:val="20"/>
        <w:szCs w:val="20"/>
      </w:rPr>
      <w:fldChar w:fldCharType="begin"/>
    </w:r>
    <w:r w:rsidRPr="00071A14">
      <w:rPr>
        <w:rFonts w:ascii="Arial" w:hAnsi="Arial" w:cs="Arial"/>
        <w:sz w:val="20"/>
        <w:szCs w:val="20"/>
      </w:rPr>
      <w:instrText xml:space="preserve"> PAGE   \* MERGEFORMAT </w:instrText>
    </w:r>
    <w:r w:rsidRPr="00071A14">
      <w:rPr>
        <w:rFonts w:ascii="Arial" w:hAnsi="Arial" w:cs="Arial"/>
        <w:sz w:val="20"/>
        <w:szCs w:val="20"/>
      </w:rPr>
      <w:fldChar w:fldCharType="separate"/>
    </w:r>
    <w:r>
      <w:rPr>
        <w:rFonts w:ascii="Arial" w:hAnsi="Arial" w:cs="Arial"/>
        <w:sz w:val="20"/>
        <w:szCs w:val="20"/>
      </w:rPr>
      <w:t>1</w:t>
    </w:r>
    <w:r w:rsidRPr="00071A14">
      <w:rPr>
        <w:rFonts w:ascii="Arial" w:hAnsi="Arial" w:cs="Arial"/>
        <w:noProof/>
        <w:sz w:val="20"/>
        <w:szCs w:val="20"/>
      </w:rPr>
      <w:fldChar w:fldCharType="end"/>
    </w:r>
    <w:r>
      <w:rPr>
        <w:rFonts w:ascii="Arial" w:hAnsi="Arial" w:cs="Arial"/>
        <w:noProof/>
        <w:sz w:val="20"/>
        <w:szCs w:val="20"/>
      </w:rPr>
      <w:t xml:space="preserve"> of </w:t>
    </w:r>
    <w:r>
      <w:rPr>
        <w:rFonts w:ascii="Arial" w:hAnsi="Arial" w:cs="Arial"/>
        <w:noProof/>
        <w:sz w:val="20"/>
        <w:szCs w:val="20"/>
      </w:rPr>
      <w:fldChar w:fldCharType="begin"/>
    </w:r>
    <w:r>
      <w:rPr>
        <w:rFonts w:ascii="Arial" w:hAnsi="Arial" w:cs="Arial"/>
        <w:noProof/>
        <w:sz w:val="20"/>
        <w:szCs w:val="20"/>
      </w:rPr>
      <w:instrText xml:space="preserve"> NUMPAGES   \* MERGEFORMAT </w:instrText>
    </w:r>
    <w:r>
      <w:rPr>
        <w:rFonts w:ascii="Arial" w:hAnsi="Arial" w:cs="Arial"/>
        <w:noProof/>
        <w:sz w:val="20"/>
        <w:szCs w:val="20"/>
      </w:rPr>
      <w:fldChar w:fldCharType="separate"/>
    </w:r>
    <w:r>
      <w:rPr>
        <w:rFonts w:ascii="Arial" w:hAnsi="Arial" w:cs="Arial"/>
        <w:noProof/>
        <w:sz w:val="20"/>
        <w:szCs w:val="20"/>
      </w:rPr>
      <w:t>2</w:t>
    </w:r>
    <w:r>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AF03" w14:textId="77777777" w:rsidR="00B32F91" w:rsidRPr="00F5315C" w:rsidRDefault="00B32F91" w:rsidP="00F5315C">
    <w:pPr>
      <w:tabs>
        <w:tab w:val="left" w:pos="-426"/>
        <w:tab w:val="left" w:pos="3969"/>
      </w:tabs>
      <w:ind w:right="-476"/>
      <w:rPr>
        <w:rFonts w:ascii="Arial" w:hAnsi="Arial" w:cs="Arial"/>
        <w:sz w:val="20"/>
        <w:szCs w:val="20"/>
      </w:rPr>
    </w:pPr>
    <w:r w:rsidRPr="00C63D0E">
      <w:rPr>
        <w:rFonts w:ascii="Arial" w:hAnsi="Arial" w:cs="Arial"/>
        <w:sz w:val="20"/>
        <w:szCs w:val="20"/>
      </w:rPr>
      <w:t>This document may contain information given in confidence, commercially sensitive and personal information.  It should not be released to a third party without the written consent of Enterprise Ireland.</w:t>
    </w:r>
    <w:r>
      <w:rPr>
        <w:rFonts w:ascii="Arial" w:hAnsi="Arial" w:cs="Arial"/>
        <w:sz w:val="20"/>
        <w:szCs w:val="20"/>
      </w:rPr>
      <w:tab/>
    </w:r>
    <w:r>
      <w:rPr>
        <w:rFonts w:ascii="Arial" w:hAnsi="Arial" w:cs="Arial"/>
        <w:sz w:val="20"/>
        <w:szCs w:val="20"/>
      </w:rPr>
      <w:tab/>
      <w:t xml:space="preserve">Page </w:t>
    </w:r>
    <w:r w:rsidRPr="00071A14">
      <w:rPr>
        <w:rFonts w:ascii="Arial" w:hAnsi="Arial" w:cs="Arial"/>
        <w:sz w:val="20"/>
        <w:szCs w:val="20"/>
      </w:rPr>
      <w:fldChar w:fldCharType="begin"/>
    </w:r>
    <w:r w:rsidRPr="00071A14">
      <w:rPr>
        <w:rFonts w:ascii="Arial" w:hAnsi="Arial" w:cs="Arial"/>
        <w:sz w:val="20"/>
        <w:szCs w:val="20"/>
      </w:rPr>
      <w:instrText xml:space="preserve"> PAGE   \* MERGEFORMAT </w:instrText>
    </w:r>
    <w:r w:rsidRPr="00071A14">
      <w:rPr>
        <w:rFonts w:ascii="Arial" w:hAnsi="Arial" w:cs="Arial"/>
        <w:sz w:val="20"/>
        <w:szCs w:val="20"/>
      </w:rPr>
      <w:fldChar w:fldCharType="separate"/>
    </w:r>
    <w:r>
      <w:rPr>
        <w:rFonts w:ascii="Arial" w:hAnsi="Arial" w:cs="Arial"/>
        <w:sz w:val="20"/>
        <w:szCs w:val="20"/>
      </w:rPr>
      <w:t>1</w:t>
    </w:r>
    <w:r w:rsidRPr="00071A14">
      <w:rPr>
        <w:rFonts w:ascii="Arial" w:hAnsi="Arial" w:cs="Arial"/>
        <w:noProof/>
        <w:sz w:val="20"/>
        <w:szCs w:val="20"/>
      </w:rPr>
      <w:fldChar w:fldCharType="end"/>
    </w:r>
    <w:r>
      <w:rPr>
        <w:rFonts w:ascii="Arial" w:hAnsi="Arial" w:cs="Arial"/>
        <w:noProof/>
        <w:sz w:val="20"/>
        <w:szCs w:val="20"/>
      </w:rPr>
      <w:t xml:space="preserve"> of </w:t>
    </w:r>
    <w:r>
      <w:rPr>
        <w:rFonts w:ascii="Arial" w:hAnsi="Arial" w:cs="Arial"/>
        <w:noProof/>
        <w:sz w:val="20"/>
        <w:szCs w:val="20"/>
      </w:rPr>
      <w:fldChar w:fldCharType="begin"/>
    </w:r>
    <w:r>
      <w:rPr>
        <w:rFonts w:ascii="Arial" w:hAnsi="Arial" w:cs="Arial"/>
        <w:noProof/>
        <w:sz w:val="20"/>
        <w:szCs w:val="20"/>
      </w:rPr>
      <w:instrText xml:space="preserve"> NUMPAGES   \* MERGEFORMAT </w:instrText>
    </w:r>
    <w:r>
      <w:rPr>
        <w:rFonts w:ascii="Arial" w:hAnsi="Arial" w:cs="Arial"/>
        <w:noProof/>
        <w:sz w:val="20"/>
        <w:szCs w:val="20"/>
      </w:rPr>
      <w:fldChar w:fldCharType="separate"/>
    </w:r>
    <w:r>
      <w:rPr>
        <w:rFonts w:ascii="Arial" w:hAnsi="Arial" w:cs="Arial"/>
        <w:noProof/>
        <w:sz w:val="20"/>
        <w:szCs w:val="20"/>
      </w:rPr>
      <w:t>2</w:t>
    </w:r>
    <w:r>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FDA6" w14:textId="77777777" w:rsidR="00155658" w:rsidRDefault="00155658" w:rsidP="00FB27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C5C370" w14:textId="77777777" w:rsidR="00155658" w:rsidRDefault="00155658" w:rsidP="00063A8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FC8B" w14:textId="77777777" w:rsidR="00155658" w:rsidRDefault="00155658" w:rsidP="00FB27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05D4">
      <w:rPr>
        <w:rStyle w:val="PageNumber"/>
        <w:noProof/>
      </w:rPr>
      <w:t>1</w:t>
    </w:r>
    <w:r>
      <w:rPr>
        <w:rStyle w:val="PageNumber"/>
      </w:rPr>
      <w:fldChar w:fldCharType="end"/>
    </w:r>
  </w:p>
  <w:p w14:paraId="44052EA5" w14:textId="77777777" w:rsidR="00155658" w:rsidRDefault="00155658" w:rsidP="00063A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5EE44" w14:textId="77777777" w:rsidR="00176E23" w:rsidRDefault="00176E23" w:rsidP="00FB2745">
      <w:r>
        <w:separator/>
      </w:r>
    </w:p>
  </w:footnote>
  <w:footnote w:type="continuationSeparator" w:id="0">
    <w:p w14:paraId="7A39080C" w14:textId="77777777" w:rsidR="00176E23" w:rsidRDefault="00176E23" w:rsidP="00FB2745">
      <w:r>
        <w:continuationSeparator/>
      </w:r>
    </w:p>
  </w:footnote>
  <w:footnote w:id="1">
    <w:p w14:paraId="0B59913F" w14:textId="77777777" w:rsidR="00B32F91" w:rsidRDefault="00B32F91">
      <w:pPr>
        <w:pStyle w:val="FootnoteText"/>
      </w:pPr>
      <w:r>
        <w:rPr>
          <w:rStyle w:val="FootnoteReference"/>
        </w:rPr>
        <w:footnoteRef/>
      </w:r>
      <w:r>
        <w:t xml:space="preserve"> </w:t>
      </w:r>
      <w:r w:rsidRPr="00243920">
        <w:rPr>
          <w:sz w:val="16"/>
          <w:szCs w:val="16"/>
        </w:rPr>
        <w:t xml:space="preserve">As defined in ‘S.I. No. 81 of 2010 - INDUSTRIAL DEVELOPMENT (SERVICE INDUSTRIES) ORDER 2010’ - </w:t>
      </w:r>
      <w:hyperlink r:id="rId1">
        <w:r w:rsidRPr="00243920">
          <w:rPr>
            <w:rStyle w:val="Hyperlink"/>
            <w:sz w:val="16"/>
            <w:szCs w:val="16"/>
          </w:rPr>
          <w:t>https://www.irishstatutebook.ie/eli/2010/si/81/made/en/print</w:t>
        </w:r>
      </w:hyperlink>
    </w:p>
  </w:footnote>
  <w:footnote w:id="2">
    <w:p w14:paraId="0625C47B" w14:textId="77777777" w:rsidR="00B32F91" w:rsidRPr="00012D3D" w:rsidRDefault="00B32F91" w:rsidP="00710719">
      <w:pPr>
        <w:pStyle w:val="FootnoteText"/>
        <w:rPr>
          <w:sz w:val="16"/>
          <w:szCs w:val="16"/>
        </w:rPr>
      </w:pPr>
      <w:r w:rsidRPr="00012D3D">
        <w:rPr>
          <w:rStyle w:val="FootnoteReference"/>
          <w:sz w:val="16"/>
          <w:szCs w:val="16"/>
        </w:rPr>
        <w:footnoteRef/>
      </w:r>
      <w:r w:rsidRPr="00012D3D">
        <w:rPr>
          <w:sz w:val="16"/>
          <w:szCs w:val="16"/>
        </w:rPr>
        <w:t xml:space="preserve"> The Carbon Reduction fund is also </w:t>
      </w:r>
      <w:proofErr w:type="spellStart"/>
      <w:proofErr w:type="gramStart"/>
      <w:r w:rsidRPr="00012D3D">
        <w:rPr>
          <w:sz w:val="16"/>
          <w:szCs w:val="16"/>
        </w:rPr>
        <w:t>know</w:t>
      </w:r>
      <w:proofErr w:type="spellEnd"/>
      <w:proofErr w:type="gramEnd"/>
      <w:r w:rsidRPr="00012D3D">
        <w:rPr>
          <w:sz w:val="16"/>
          <w:szCs w:val="16"/>
        </w:rPr>
        <w:t xml:space="preserve"> as the Enterprise Emissions Reduction Investment Fund.</w:t>
      </w:r>
    </w:p>
  </w:footnote>
  <w:footnote w:id="3">
    <w:p w14:paraId="71EF44B3" w14:textId="77777777" w:rsidR="00B32F91" w:rsidRPr="00012D3D" w:rsidRDefault="00B32F91" w:rsidP="00710719">
      <w:pPr>
        <w:pStyle w:val="FootnoteText"/>
        <w:rPr>
          <w:sz w:val="16"/>
          <w:szCs w:val="16"/>
        </w:rPr>
      </w:pPr>
      <w:r w:rsidRPr="00012D3D">
        <w:rPr>
          <w:rStyle w:val="FootnoteReference"/>
          <w:sz w:val="16"/>
          <w:szCs w:val="16"/>
        </w:rPr>
        <w:footnoteRef/>
      </w:r>
      <w:r w:rsidRPr="00012D3D">
        <w:rPr>
          <w:sz w:val="16"/>
          <w:szCs w:val="16"/>
        </w:rPr>
        <w:t xml:space="preserve"> The Climate Enterprise Action fund is also known as the Climate Planning Fund for Business.</w:t>
      </w:r>
    </w:p>
  </w:footnote>
  <w:footnote w:id="4">
    <w:p w14:paraId="032B72B4" w14:textId="77777777" w:rsidR="00B32F91" w:rsidRPr="00012D3D" w:rsidRDefault="00B32F91" w:rsidP="00710719">
      <w:pPr>
        <w:pStyle w:val="FootnoteText"/>
        <w:rPr>
          <w:sz w:val="16"/>
          <w:szCs w:val="16"/>
        </w:rPr>
      </w:pPr>
      <w:r>
        <w:rPr>
          <w:rStyle w:val="FootnoteReference"/>
        </w:rPr>
        <w:footnoteRef/>
      </w:r>
      <w:r>
        <w:rPr>
          <w:sz w:val="16"/>
          <w:szCs w:val="16"/>
        </w:rPr>
        <w:t xml:space="preserve"> </w:t>
      </w:r>
      <w:r w:rsidRPr="003801CB">
        <w:rPr>
          <w:sz w:val="16"/>
          <w:szCs w:val="16"/>
          <w:lang w:val="en-US"/>
        </w:rPr>
        <w:t>Except projects under this measure in power and/or heat generation, as well as related transmission and distribution infrastructure, using natural gas, that are compliant with the conditions set out in Annex III of the ‘Do no significant harm’ Technical Guidance (2021/C58/01).</w:t>
      </w:r>
      <w:r>
        <w:rPr>
          <w:rStyle w:val="eop"/>
          <w:rFonts w:ascii="Calibri" w:hAnsi="Calibri" w:cs="Calibri"/>
          <w:sz w:val="22"/>
          <w:szCs w:val="22"/>
        </w:rPr>
        <w:t> </w:t>
      </w:r>
    </w:p>
  </w:footnote>
  <w:footnote w:id="5">
    <w:p w14:paraId="34DC179E" w14:textId="77777777" w:rsidR="00B32F91" w:rsidRDefault="00B32F91">
      <w:pPr>
        <w:pStyle w:val="FootnoteText"/>
      </w:pPr>
      <w:r>
        <w:rPr>
          <w:rStyle w:val="FootnoteReference"/>
        </w:rPr>
        <w:footnoteRef/>
      </w:r>
      <w:r>
        <w:t xml:space="preserve"> </w:t>
      </w:r>
      <w:r w:rsidRPr="00D2414C">
        <w:rPr>
          <w:sz w:val="16"/>
          <w:szCs w:val="16"/>
          <w:lang w:val="en-US"/>
        </w:rPr>
        <w:t>Where the activity supported achieves projected greenhouse gas emissions that are not substantially lower than the relevant benchmarks an explanation of the reasons why this is not possible should be provided. Benchmarks established for free allocation for activities falling within the scope of the Emissions Trading System, as set out in the Commission Implementing Regulation (EU) 2021/447</w:t>
      </w:r>
    </w:p>
  </w:footnote>
  <w:footnote w:id="6">
    <w:p w14:paraId="7A82D307" w14:textId="77777777" w:rsidR="00B32F91" w:rsidRPr="004648B9" w:rsidRDefault="00B32F91" w:rsidP="004648B9">
      <w:pPr>
        <w:pStyle w:val="paragraph"/>
        <w:spacing w:before="0" w:beforeAutospacing="0" w:after="0" w:afterAutospacing="0"/>
        <w:textAlignment w:val="baseline"/>
        <w:rPr>
          <w:rFonts w:asciiTheme="minorHAnsi" w:eastAsiaTheme="minorHAnsi" w:hAnsiTheme="minorHAnsi" w:cstheme="minorBidi"/>
          <w:sz w:val="22"/>
          <w:szCs w:val="22"/>
          <w:lang w:val="en-US" w:eastAsia="en-US"/>
        </w:rPr>
      </w:pPr>
      <w:r>
        <w:rPr>
          <w:rStyle w:val="FootnoteReference"/>
        </w:rPr>
        <w:footnoteRef/>
      </w:r>
      <w:r>
        <w:t xml:space="preserve"> </w:t>
      </w:r>
      <w:r w:rsidRPr="00BA317D">
        <w:rPr>
          <w:rFonts w:asciiTheme="minorHAnsi" w:eastAsiaTheme="minorHAnsi" w:hAnsiTheme="minorHAnsi" w:cstheme="minorBidi"/>
          <w:sz w:val="16"/>
          <w:szCs w:val="16"/>
          <w:lang w:val="en-US" w:eastAsia="en-US"/>
        </w:rPr>
        <w:t>This exclusion does not apply to actions under this measure in plants exclusively dedicated to treating non-recyclable hazardous waste, and to existing plants, where the actions under this measure are for the purpose of increasing energy efficiency, capturing exhaust gases for storage or use or recovering materials from incineration ashes, provided such actions under this measure do not result in an increase of the plants’ waste processing capacity or in an extension of the lifetime of the plants; for which evidence is provided at plant level.</w:t>
      </w:r>
      <w:r w:rsidRPr="00115497">
        <w:rPr>
          <w:rFonts w:asciiTheme="minorHAnsi" w:eastAsiaTheme="minorHAnsi" w:hAnsiTheme="minorHAnsi" w:cstheme="minorBidi"/>
          <w:lang w:val="en-US" w:eastAsia="en-US"/>
        </w:rPr>
        <w:t> </w:t>
      </w:r>
    </w:p>
  </w:footnote>
  <w:footnote w:id="7">
    <w:p w14:paraId="07E6A118" w14:textId="77777777" w:rsidR="00B32F91" w:rsidRDefault="00B32F91">
      <w:pPr>
        <w:pStyle w:val="FootnoteText"/>
      </w:pPr>
      <w:r>
        <w:rPr>
          <w:rStyle w:val="FootnoteReference"/>
        </w:rPr>
        <w:footnoteRef/>
      </w:r>
      <w:r>
        <w:t xml:space="preserve"> </w:t>
      </w:r>
      <w:r w:rsidRPr="004648B9">
        <w:rPr>
          <w:sz w:val="16"/>
          <w:szCs w:val="16"/>
          <w:lang w:val="en-US"/>
        </w:rPr>
        <w:t>This exclusion does not apply to actions under this measure in existing mechanical biological treatment plants, where the actions under this measure are for the purpose of increasing energy efficiency or retrofitting to recycling operations of separated waste to compost bio-waste and anaerobic digestion of bio-waste, provided such actions under this measure do not result in an increase of the plants’ waste processing capacity or in an extension of the lifetime of the plants; for which evidence is provided at plant level.</w:t>
      </w:r>
      <w:r w:rsidRPr="00115497">
        <w:rPr>
          <w:lang w:val="en-US"/>
        </w:rPr>
        <w:t> </w:t>
      </w:r>
    </w:p>
  </w:footnote>
  <w:footnote w:id="8">
    <w:p w14:paraId="35BEB869" w14:textId="77777777" w:rsidR="00B32F91" w:rsidRPr="00243920" w:rsidRDefault="00B32F91" w:rsidP="00FF47D8">
      <w:pPr>
        <w:pStyle w:val="FootnoteText"/>
        <w:rPr>
          <w:color w:val="FF0000"/>
          <w:sz w:val="12"/>
          <w:szCs w:val="12"/>
        </w:rPr>
      </w:pPr>
      <w:r w:rsidRPr="00243920">
        <w:rPr>
          <w:rStyle w:val="FootnoteReference"/>
          <w:sz w:val="16"/>
          <w:szCs w:val="16"/>
        </w:rPr>
        <w:footnoteRef/>
      </w:r>
      <w:r w:rsidRPr="00243920">
        <w:rPr>
          <w:sz w:val="16"/>
          <w:szCs w:val="16"/>
        </w:rPr>
        <w:t xml:space="preserve"> Financial institutions are those included in the Communication from the Commission on the application, from 1 August 2013, of the State aid rules to support measures in favour of banks in the context of the financial crisis (‘Banking Communication’) (OJ C 216, 30.7.2013,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0C3C" w14:textId="77777777" w:rsidR="00B32F91" w:rsidRDefault="00B32F91">
    <w:pPr>
      <w:pStyle w:val="Header"/>
    </w:pPr>
    <w:r w:rsidRPr="00E2332F">
      <w:rPr>
        <w:rFonts w:ascii="Arial" w:eastAsia="Times New Roman" w:hAnsi="Arial" w:cs="Arial"/>
        <w:noProof/>
        <w:sz w:val="20"/>
        <w:szCs w:val="20"/>
        <w:lang w:eastAsia="en-GB"/>
      </w:rPr>
      <w:drawing>
        <wp:anchor distT="0" distB="0" distL="114300" distR="114300" simplePos="0" relativeHeight="251659264" behindDoc="0" locked="0" layoutInCell="1" allowOverlap="1" wp14:anchorId="19E2F54F" wp14:editId="32E9846F">
          <wp:simplePos x="0" y="0"/>
          <wp:positionH relativeFrom="column">
            <wp:posOffset>35120</wp:posOffset>
          </wp:positionH>
          <wp:positionV relativeFrom="paragraph">
            <wp:posOffset>-49530</wp:posOffset>
          </wp:positionV>
          <wp:extent cx="1971675" cy="523875"/>
          <wp:effectExtent l="0" t="0" r="0" b="0"/>
          <wp:wrapSquare wrapText="bothSides"/>
          <wp:docPr id="5" name="Picture 5" descr="Enterprise-Ireland-Logo_CMY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Enterprise-Ireland-Logo_CMYK"/>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8654D"/>
    <w:multiLevelType w:val="hybridMultilevel"/>
    <w:tmpl w:val="D00CEBEE"/>
    <w:lvl w:ilvl="0" w:tplc="25EEA0F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F25B32"/>
    <w:multiLevelType w:val="hybridMultilevel"/>
    <w:tmpl w:val="C890CEA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24F8E92"/>
    <w:multiLevelType w:val="hybridMultilevel"/>
    <w:tmpl w:val="3CA27D32"/>
    <w:lvl w:ilvl="0" w:tplc="8C9A7C8C">
      <w:start w:val="1"/>
      <w:numFmt w:val="decimal"/>
      <w:lvlText w:val="%1."/>
      <w:lvlJc w:val="left"/>
      <w:pPr>
        <w:ind w:left="720" w:hanging="360"/>
      </w:pPr>
    </w:lvl>
    <w:lvl w:ilvl="1" w:tplc="80ACE5A4">
      <w:start w:val="1"/>
      <w:numFmt w:val="lowerLetter"/>
      <w:lvlText w:val="%2."/>
      <w:lvlJc w:val="left"/>
      <w:pPr>
        <w:ind w:left="1440" w:hanging="360"/>
      </w:pPr>
    </w:lvl>
    <w:lvl w:ilvl="2" w:tplc="54AEEA66">
      <w:start w:val="1"/>
      <w:numFmt w:val="lowerRoman"/>
      <w:lvlText w:val="%3."/>
      <w:lvlJc w:val="right"/>
      <w:pPr>
        <w:ind w:left="2160" w:hanging="180"/>
      </w:pPr>
    </w:lvl>
    <w:lvl w:ilvl="3" w:tplc="EA0EBA7A">
      <w:start w:val="1"/>
      <w:numFmt w:val="decimal"/>
      <w:lvlText w:val="%4."/>
      <w:lvlJc w:val="left"/>
      <w:pPr>
        <w:ind w:left="2880" w:hanging="360"/>
      </w:pPr>
    </w:lvl>
    <w:lvl w:ilvl="4" w:tplc="57D2AAAA">
      <w:start w:val="1"/>
      <w:numFmt w:val="lowerLetter"/>
      <w:lvlText w:val="%5."/>
      <w:lvlJc w:val="left"/>
      <w:pPr>
        <w:ind w:left="3600" w:hanging="360"/>
      </w:pPr>
    </w:lvl>
    <w:lvl w:ilvl="5" w:tplc="E9061C88">
      <w:start w:val="1"/>
      <w:numFmt w:val="lowerRoman"/>
      <w:lvlText w:val="%6."/>
      <w:lvlJc w:val="right"/>
      <w:pPr>
        <w:ind w:left="4320" w:hanging="180"/>
      </w:pPr>
    </w:lvl>
    <w:lvl w:ilvl="6" w:tplc="F97A4B86">
      <w:start w:val="1"/>
      <w:numFmt w:val="decimal"/>
      <w:lvlText w:val="%7."/>
      <w:lvlJc w:val="left"/>
      <w:pPr>
        <w:ind w:left="5040" w:hanging="360"/>
      </w:pPr>
    </w:lvl>
    <w:lvl w:ilvl="7" w:tplc="D31092C0">
      <w:start w:val="1"/>
      <w:numFmt w:val="lowerLetter"/>
      <w:lvlText w:val="%8."/>
      <w:lvlJc w:val="left"/>
      <w:pPr>
        <w:ind w:left="5760" w:hanging="360"/>
      </w:pPr>
    </w:lvl>
    <w:lvl w:ilvl="8" w:tplc="511869C6">
      <w:start w:val="1"/>
      <w:numFmt w:val="lowerRoman"/>
      <w:lvlText w:val="%9."/>
      <w:lvlJc w:val="right"/>
      <w:pPr>
        <w:ind w:left="6480" w:hanging="180"/>
      </w:pPr>
    </w:lvl>
  </w:abstractNum>
  <w:abstractNum w:abstractNumId="4" w15:restartNumberingAfterBreak="0">
    <w:nsid w:val="07381DC6"/>
    <w:multiLevelType w:val="hybridMultilevel"/>
    <w:tmpl w:val="C4CA05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855552E"/>
    <w:multiLevelType w:val="hybridMultilevel"/>
    <w:tmpl w:val="E7982FB8"/>
    <w:lvl w:ilvl="0" w:tplc="1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08DA403F"/>
    <w:multiLevelType w:val="hybridMultilevel"/>
    <w:tmpl w:val="6DD62428"/>
    <w:lvl w:ilvl="0" w:tplc="1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0C943F2A"/>
    <w:multiLevelType w:val="hybridMultilevel"/>
    <w:tmpl w:val="9D821F82"/>
    <w:lvl w:ilvl="0" w:tplc="1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ECF5AFD"/>
    <w:multiLevelType w:val="hybridMultilevel"/>
    <w:tmpl w:val="B43843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EF572B9"/>
    <w:multiLevelType w:val="hybridMultilevel"/>
    <w:tmpl w:val="46CEC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0180E56"/>
    <w:multiLevelType w:val="hybridMultilevel"/>
    <w:tmpl w:val="9F4E1A34"/>
    <w:lvl w:ilvl="0" w:tplc="1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0CA3E09"/>
    <w:multiLevelType w:val="hybridMultilevel"/>
    <w:tmpl w:val="5D0023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93E03D8"/>
    <w:multiLevelType w:val="multilevel"/>
    <w:tmpl w:val="DE88C4B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B0348D"/>
    <w:multiLevelType w:val="hybridMultilevel"/>
    <w:tmpl w:val="4D485B42"/>
    <w:lvl w:ilvl="0" w:tplc="F3F838A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A206118"/>
    <w:multiLevelType w:val="hybridMultilevel"/>
    <w:tmpl w:val="1E308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364263"/>
    <w:multiLevelType w:val="hybridMultilevel"/>
    <w:tmpl w:val="4A3AE0C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1B815D66"/>
    <w:multiLevelType w:val="hybridMultilevel"/>
    <w:tmpl w:val="6FB4C5CA"/>
    <w:lvl w:ilvl="0" w:tplc="FF783156">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1C0469FB"/>
    <w:multiLevelType w:val="hybridMultilevel"/>
    <w:tmpl w:val="E6560ACC"/>
    <w:lvl w:ilvl="0" w:tplc="7472DBC8">
      <w:start w:val="1"/>
      <w:numFmt w:val="bullet"/>
      <w:lvlText w:val="-"/>
      <w:lvlJc w:val="left"/>
      <w:pPr>
        <w:ind w:left="360" w:hanging="360"/>
      </w:pPr>
      <w:rPr>
        <w:rFonts w:ascii="Calibri" w:hAnsi="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1C8E371A"/>
    <w:multiLevelType w:val="hybridMultilevel"/>
    <w:tmpl w:val="2392FCF6"/>
    <w:lvl w:ilvl="0" w:tplc="18090003">
      <w:start w:val="1"/>
      <w:numFmt w:val="bullet"/>
      <w:lvlText w:val="o"/>
      <w:lvlJc w:val="left"/>
      <w:pPr>
        <w:ind w:left="1080" w:hanging="360"/>
      </w:pPr>
      <w:rPr>
        <w:rFonts w:ascii="Courier New" w:hAnsi="Courier New" w:cs="Courier New" w:hint="default"/>
      </w:rPr>
    </w:lvl>
    <w:lvl w:ilvl="1" w:tplc="374A8962">
      <w:numFmt w:val="bullet"/>
      <w:lvlText w:val="-"/>
      <w:lvlJc w:val="left"/>
      <w:pPr>
        <w:ind w:left="2000" w:hanging="560"/>
      </w:pPr>
      <w:rPr>
        <w:rFonts w:ascii="Calibri" w:eastAsia="Times New Roman" w:hAnsi="Calibri" w:cs="Calibri"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1E6B1796"/>
    <w:multiLevelType w:val="hybridMultilevel"/>
    <w:tmpl w:val="CCECFCC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20A75F8E"/>
    <w:multiLevelType w:val="hybridMultilevel"/>
    <w:tmpl w:val="38AA1B0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16C544B"/>
    <w:multiLevelType w:val="multilevel"/>
    <w:tmpl w:val="3752D6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7DC63DF"/>
    <w:multiLevelType w:val="hybridMultilevel"/>
    <w:tmpl w:val="639A7B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7E07317"/>
    <w:multiLevelType w:val="hybridMultilevel"/>
    <w:tmpl w:val="F97800C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2AC45624"/>
    <w:multiLevelType w:val="multilevel"/>
    <w:tmpl w:val="C2BE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E5538F"/>
    <w:multiLevelType w:val="multilevel"/>
    <w:tmpl w:val="D368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AF66D7F"/>
    <w:multiLevelType w:val="hybridMultilevel"/>
    <w:tmpl w:val="651093C4"/>
    <w:lvl w:ilvl="0" w:tplc="1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2B7559B3"/>
    <w:multiLevelType w:val="hybridMultilevel"/>
    <w:tmpl w:val="069874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EE703B1"/>
    <w:multiLevelType w:val="hybridMultilevel"/>
    <w:tmpl w:val="B92EB5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33210118"/>
    <w:multiLevelType w:val="hybridMultilevel"/>
    <w:tmpl w:val="709819A0"/>
    <w:lvl w:ilvl="0" w:tplc="544A1804">
      <w:start w:val="1"/>
      <w:numFmt w:val="decimal"/>
      <w:lvlText w:val="%1."/>
      <w:lvlJc w:val="left"/>
      <w:pPr>
        <w:ind w:left="720" w:hanging="360"/>
      </w:pPr>
    </w:lvl>
    <w:lvl w:ilvl="1" w:tplc="B17088DE">
      <w:start w:val="1"/>
      <w:numFmt w:val="lowerLetter"/>
      <w:lvlText w:val="%2."/>
      <w:lvlJc w:val="left"/>
      <w:pPr>
        <w:ind w:left="1440" w:hanging="360"/>
      </w:pPr>
    </w:lvl>
    <w:lvl w:ilvl="2" w:tplc="3D1EFAA8">
      <w:start w:val="1"/>
      <w:numFmt w:val="lowerRoman"/>
      <w:lvlText w:val="%3."/>
      <w:lvlJc w:val="right"/>
      <w:pPr>
        <w:ind w:left="2160" w:hanging="180"/>
      </w:pPr>
    </w:lvl>
    <w:lvl w:ilvl="3" w:tplc="8BD866EA">
      <w:start w:val="1"/>
      <w:numFmt w:val="decimal"/>
      <w:lvlText w:val="%4."/>
      <w:lvlJc w:val="left"/>
      <w:pPr>
        <w:ind w:left="2880" w:hanging="360"/>
      </w:pPr>
    </w:lvl>
    <w:lvl w:ilvl="4" w:tplc="750A81A4">
      <w:start w:val="1"/>
      <w:numFmt w:val="lowerLetter"/>
      <w:lvlText w:val="%5."/>
      <w:lvlJc w:val="left"/>
      <w:pPr>
        <w:ind w:left="3600" w:hanging="360"/>
      </w:pPr>
    </w:lvl>
    <w:lvl w:ilvl="5" w:tplc="12D82536">
      <w:start w:val="1"/>
      <w:numFmt w:val="lowerRoman"/>
      <w:lvlText w:val="%6."/>
      <w:lvlJc w:val="right"/>
      <w:pPr>
        <w:ind w:left="4320" w:hanging="180"/>
      </w:pPr>
    </w:lvl>
    <w:lvl w:ilvl="6" w:tplc="DFF42B1A">
      <w:start w:val="1"/>
      <w:numFmt w:val="decimal"/>
      <w:lvlText w:val="%7."/>
      <w:lvlJc w:val="left"/>
      <w:pPr>
        <w:ind w:left="5040" w:hanging="360"/>
      </w:pPr>
    </w:lvl>
    <w:lvl w:ilvl="7" w:tplc="13D06F20">
      <w:start w:val="1"/>
      <w:numFmt w:val="lowerLetter"/>
      <w:lvlText w:val="%8."/>
      <w:lvlJc w:val="left"/>
      <w:pPr>
        <w:ind w:left="5760" w:hanging="360"/>
      </w:pPr>
    </w:lvl>
    <w:lvl w:ilvl="8" w:tplc="B68A859C">
      <w:start w:val="1"/>
      <w:numFmt w:val="lowerRoman"/>
      <w:lvlText w:val="%9."/>
      <w:lvlJc w:val="right"/>
      <w:pPr>
        <w:ind w:left="6480" w:hanging="180"/>
      </w:pPr>
    </w:lvl>
  </w:abstractNum>
  <w:abstractNum w:abstractNumId="30" w15:restartNumberingAfterBreak="0">
    <w:nsid w:val="340327FA"/>
    <w:multiLevelType w:val="hybridMultilevel"/>
    <w:tmpl w:val="ACFE38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3D0412FF"/>
    <w:multiLevelType w:val="hybridMultilevel"/>
    <w:tmpl w:val="49E09B40"/>
    <w:lvl w:ilvl="0" w:tplc="1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7E26247"/>
    <w:multiLevelType w:val="multilevel"/>
    <w:tmpl w:val="379C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C747F6"/>
    <w:multiLevelType w:val="hybridMultilevel"/>
    <w:tmpl w:val="CF64DB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DF45E0"/>
    <w:multiLevelType w:val="hybridMultilevel"/>
    <w:tmpl w:val="DBFE1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EB64C0"/>
    <w:multiLevelType w:val="hybridMultilevel"/>
    <w:tmpl w:val="C9E29020"/>
    <w:lvl w:ilvl="0" w:tplc="28D6F994">
      <w:start w:val="1"/>
      <w:numFmt w:val="bullet"/>
      <w:lvlText w:val=""/>
      <w:lvlJc w:val="left"/>
      <w:pPr>
        <w:tabs>
          <w:tab w:val="num" w:pos="720"/>
        </w:tabs>
        <w:ind w:left="720" w:hanging="360"/>
      </w:pPr>
      <w:rPr>
        <w:rFonts w:ascii="Symbol" w:hAnsi="Symbol" w:hint="default"/>
        <w:sz w:val="20"/>
      </w:rPr>
    </w:lvl>
    <w:lvl w:ilvl="1" w:tplc="547A4A8C" w:tentative="1">
      <w:start w:val="1"/>
      <w:numFmt w:val="bullet"/>
      <w:lvlText w:val="o"/>
      <w:lvlJc w:val="left"/>
      <w:pPr>
        <w:tabs>
          <w:tab w:val="num" w:pos="1440"/>
        </w:tabs>
        <w:ind w:left="1440" w:hanging="360"/>
      </w:pPr>
      <w:rPr>
        <w:rFonts w:ascii="Courier New" w:hAnsi="Courier New" w:hint="default"/>
        <w:sz w:val="20"/>
      </w:rPr>
    </w:lvl>
    <w:lvl w:ilvl="2" w:tplc="4FC6D6B2" w:tentative="1">
      <w:start w:val="1"/>
      <w:numFmt w:val="bullet"/>
      <w:lvlText w:val=""/>
      <w:lvlJc w:val="left"/>
      <w:pPr>
        <w:tabs>
          <w:tab w:val="num" w:pos="2160"/>
        </w:tabs>
        <w:ind w:left="2160" w:hanging="360"/>
      </w:pPr>
      <w:rPr>
        <w:rFonts w:ascii="Wingdings" w:hAnsi="Wingdings" w:hint="default"/>
        <w:sz w:val="20"/>
      </w:rPr>
    </w:lvl>
    <w:lvl w:ilvl="3" w:tplc="1C845730" w:tentative="1">
      <w:start w:val="1"/>
      <w:numFmt w:val="bullet"/>
      <w:lvlText w:val=""/>
      <w:lvlJc w:val="left"/>
      <w:pPr>
        <w:tabs>
          <w:tab w:val="num" w:pos="2880"/>
        </w:tabs>
        <w:ind w:left="2880" w:hanging="360"/>
      </w:pPr>
      <w:rPr>
        <w:rFonts w:ascii="Wingdings" w:hAnsi="Wingdings" w:hint="default"/>
        <w:sz w:val="20"/>
      </w:rPr>
    </w:lvl>
    <w:lvl w:ilvl="4" w:tplc="5F1C3492" w:tentative="1">
      <w:start w:val="1"/>
      <w:numFmt w:val="bullet"/>
      <w:lvlText w:val=""/>
      <w:lvlJc w:val="left"/>
      <w:pPr>
        <w:tabs>
          <w:tab w:val="num" w:pos="3600"/>
        </w:tabs>
        <w:ind w:left="3600" w:hanging="360"/>
      </w:pPr>
      <w:rPr>
        <w:rFonts w:ascii="Wingdings" w:hAnsi="Wingdings" w:hint="default"/>
        <w:sz w:val="20"/>
      </w:rPr>
    </w:lvl>
    <w:lvl w:ilvl="5" w:tplc="36407E26" w:tentative="1">
      <w:start w:val="1"/>
      <w:numFmt w:val="bullet"/>
      <w:lvlText w:val=""/>
      <w:lvlJc w:val="left"/>
      <w:pPr>
        <w:tabs>
          <w:tab w:val="num" w:pos="4320"/>
        </w:tabs>
        <w:ind w:left="4320" w:hanging="360"/>
      </w:pPr>
      <w:rPr>
        <w:rFonts w:ascii="Wingdings" w:hAnsi="Wingdings" w:hint="default"/>
        <w:sz w:val="20"/>
      </w:rPr>
    </w:lvl>
    <w:lvl w:ilvl="6" w:tplc="08C4BC86" w:tentative="1">
      <w:start w:val="1"/>
      <w:numFmt w:val="bullet"/>
      <w:lvlText w:val=""/>
      <w:lvlJc w:val="left"/>
      <w:pPr>
        <w:tabs>
          <w:tab w:val="num" w:pos="5040"/>
        </w:tabs>
        <w:ind w:left="5040" w:hanging="360"/>
      </w:pPr>
      <w:rPr>
        <w:rFonts w:ascii="Wingdings" w:hAnsi="Wingdings" w:hint="default"/>
        <w:sz w:val="20"/>
      </w:rPr>
    </w:lvl>
    <w:lvl w:ilvl="7" w:tplc="091A6364" w:tentative="1">
      <w:start w:val="1"/>
      <w:numFmt w:val="bullet"/>
      <w:lvlText w:val=""/>
      <w:lvlJc w:val="left"/>
      <w:pPr>
        <w:tabs>
          <w:tab w:val="num" w:pos="5760"/>
        </w:tabs>
        <w:ind w:left="5760" w:hanging="360"/>
      </w:pPr>
      <w:rPr>
        <w:rFonts w:ascii="Wingdings" w:hAnsi="Wingdings" w:hint="default"/>
        <w:sz w:val="20"/>
      </w:rPr>
    </w:lvl>
    <w:lvl w:ilvl="8" w:tplc="4AC03250"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324397"/>
    <w:multiLevelType w:val="hybridMultilevel"/>
    <w:tmpl w:val="420429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0C02F49"/>
    <w:multiLevelType w:val="hybridMultilevel"/>
    <w:tmpl w:val="3E104D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47441C"/>
    <w:multiLevelType w:val="hybridMultilevel"/>
    <w:tmpl w:val="BD6C8A88"/>
    <w:lvl w:ilvl="0" w:tplc="1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52751F75"/>
    <w:multiLevelType w:val="hybridMultilevel"/>
    <w:tmpl w:val="E8D6153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58E74E79"/>
    <w:multiLevelType w:val="hybridMultilevel"/>
    <w:tmpl w:val="45B20F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59A975F1"/>
    <w:multiLevelType w:val="hybridMultilevel"/>
    <w:tmpl w:val="C426937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3A552D"/>
    <w:multiLevelType w:val="hybridMultilevel"/>
    <w:tmpl w:val="B0B49D9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635E542B"/>
    <w:multiLevelType w:val="hybridMultilevel"/>
    <w:tmpl w:val="79EE3A94"/>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4" w15:restartNumberingAfterBreak="0">
    <w:nsid w:val="656A6F19"/>
    <w:multiLevelType w:val="hybridMultilevel"/>
    <w:tmpl w:val="BF4EB84E"/>
    <w:lvl w:ilvl="0" w:tplc="2B26D7C2">
      <w:start w:val="1"/>
      <w:numFmt w:val="bullet"/>
      <w:lvlText w:val=""/>
      <w:lvlJc w:val="left"/>
      <w:pPr>
        <w:tabs>
          <w:tab w:val="num" w:pos="720"/>
        </w:tabs>
        <w:ind w:left="720" w:hanging="360"/>
      </w:pPr>
      <w:rPr>
        <w:rFonts w:ascii="Symbol" w:hAnsi="Symbol" w:hint="default"/>
        <w:sz w:val="20"/>
      </w:rPr>
    </w:lvl>
    <w:lvl w:ilvl="1" w:tplc="DA1053EE" w:tentative="1">
      <w:start w:val="1"/>
      <w:numFmt w:val="bullet"/>
      <w:lvlText w:val="o"/>
      <w:lvlJc w:val="left"/>
      <w:pPr>
        <w:tabs>
          <w:tab w:val="num" w:pos="1440"/>
        </w:tabs>
        <w:ind w:left="1440" w:hanging="360"/>
      </w:pPr>
      <w:rPr>
        <w:rFonts w:ascii="Courier New" w:hAnsi="Courier New" w:hint="default"/>
        <w:sz w:val="20"/>
      </w:rPr>
    </w:lvl>
    <w:lvl w:ilvl="2" w:tplc="2682C7B0" w:tentative="1">
      <w:start w:val="1"/>
      <w:numFmt w:val="bullet"/>
      <w:lvlText w:val=""/>
      <w:lvlJc w:val="left"/>
      <w:pPr>
        <w:tabs>
          <w:tab w:val="num" w:pos="2160"/>
        </w:tabs>
        <w:ind w:left="2160" w:hanging="360"/>
      </w:pPr>
      <w:rPr>
        <w:rFonts w:ascii="Wingdings" w:hAnsi="Wingdings" w:hint="default"/>
        <w:sz w:val="20"/>
      </w:rPr>
    </w:lvl>
    <w:lvl w:ilvl="3" w:tplc="594C1DD0" w:tentative="1">
      <w:start w:val="1"/>
      <w:numFmt w:val="bullet"/>
      <w:lvlText w:val=""/>
      <w:lvlJc w:val="left"/>
      <w:pPr>
        <w:tabs>
          <w:tab w:val="num" w:pos="2880"/>
        </w:tabs>
        <w:ind w:left="2880" w:hanging="360"/>
      </w:pPr>
      <w:rPr>
        <w:rFonts w:ascii="Wingdings" w:hAnsi="Wingdings" w:hint="default"/>
        <w:sz w:val="20"/>
      </w:rPr>
    </w:lvl>
    <w:lvl w:ilvl="4" w:tplc="023E6EEA" w:tentative="1">
      <w:start w:val="1"/>
      <w:numFmt w:val="bullet"/>
      <w:lvlText w:val=""/>
      <w:lvlJc w:val="left"/>
      <w:pPr>
        <w:tabs>
          <w:tab w:val="num" w:pos="3600"/>
        </w:tabs>
        <w:ind w:left="3600" w:hanging="360"/>
      </w:pPr>
      <w:rPr>
        <w:rFonts w:ascii="Wingdings" w:hAnsi="Wingdings" w:hint="default"/>
        <w:sz w:val="20"/>
      </w:rPr>
    </w:lvl>
    <w:lvl w:ilvl="5" w:tplc="940042B6" w:tentative="1">
      <w:start w:val="1"/>
      <w:numFmt w:val="bullet"/>
      <w:lvlText w:val=""/>
      <w:lvlJc w:val="left"/>
      <w:pPr>
        <w:tabs>
          <w:tab w:val="num" w:pos="4320"/>
        </w:tabs>
        <w:ind w:left="4320" w:hanging="360"/>
      </w:pPr>
      <w:rPr>
        <w:rFonts w:ascii="Wingdings" w:hAnsi="Wingdings" w:hint="default"/>
        <w:sz w:val="20"/>
      </w:rPr>
    </w:lvl>
    <w:lvl w:ilvl="6" w:tplc="C3426290" w:tentative="1">
      <w:start w:val="1"/>
      <w:numFmt w:val="bullet"/>
      <w:lvlText w:val=""/>
      <w:lvlJc w:val="left"/>
      <w:pPr>
        <w:tabs>
          <w:tab w:val="num" w:pos="5040"/>
        </w:tabs>
        <w:ind w:left="5040" w:hanging="360"/>
      </w:pPr>
      <w:rPr>
        <w:rFonts w:ascii="Wingdings" w:hAnsi="Wingdings" w:hint="default"/>
        <w:sz w:val="20"/>
      </w:rPr>
    </w:lvl>
    <w:lvl w:ilvl="7" w:tplc="95E63D40" w:tentative="1">
      <w:start w:val="1"/>
      <w:numFmt w:val="bullet"/>
      <w:lvlText w:val=""/>
      <w:lvlJc w:val="left"/>
      <w:pPr>
        <w:tabs>
          <w:tab w:val="num" w:pos="5760"/>
        </w:tabs>
        <w:ind w:left="5760" w:hanging="360"/>
      </w:pPr>
      <w:rPr>
        <w:rFonts w:ascii="Wingdings" w:hAnsi="Wingdings" w:hint="default"/>
        <w:sz w:val="20"/>
      </w:rPr>
    </w:lvl>
    <w:lvl w:ilvl="8" w:tplc="46908E3C"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671756"/>
    <w:multiLevelType w:val="multilevel"/>
    <w:tmpl w:val="80442F60"/>
    <w:lvl w:ilvl="0">
      <w:start w:val="1"/>
      <w:numFmt w:val="decimal"/>
      <w:lvlText w:val="%1."/>
      <w:lvlJc w:val="left"/>
      <w:pPr>
        <w:ind w:left="360" w:hanging="360"/>
      </w:pPr>
      <w:rPr>
        <w:rFonts w:hint="default"/>
      </w:r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6A603374"/>
    <w:multiLevelType w:val="hybridMultilevel"/>
    <w:tmpl w:val="1F7E9BA0"/>
    <w:lvl w:ilvl="0" w:tplc="1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6DE1269C"/>
    <w:multiLevelType w:val="hybridMultilevel"/>
    <w:tmpl w:val="45F427CC"/>
    <w:lvl w:ilvl="0" w:tplc="A6E079D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00F424C"/>
    <w:multiLevelType w:val="hybridMultilevel"/>
    <w:tmpl w:val="389AC9C4"/>
    <w:lvl w:ilvl="0" w:tplc="D62A9E84">
      <w:start w:val="1"/>
      <w:numFmt w:val="bullet"/>
      <w:lvlText w:val=""/>
      <w:lvlJc w:val="left"/>
      <w:pPr>
        <w:tabs>
          <w:tab w:val="num" w:pos="720"/>
        </w:tabs>
        <w:ind w:left="720" w:hanging="360"/>
      </w:pPr>
      <w:rPr>
        <w:rFonts w:ascii="Symbol" w:hAnsi="Symbol" w:hint="default"/>
        <w:sz w:val="20"/>
      </w:rPr>
    </w:lvl>
    <w:lvl w:ilvl="1" w:tplc="CC36C1B6" w:tentative="1">
      <w:start w:val="1"/>
      <w:numFmt w:val="bullet"/>
      <w:lvlText w:val="o"/>
      <w:lvlJc w:val="left"/>
      <w:pPr>
        <w:tabs>
          <w:tab w:val="num" w:pos="1440"/>
        </w:tabs>
        <w:ind w:left="1440" w:hanging="360"/>
      </w:pPr>
      <w:rPr>
        <w:rFonts w:ascii="Courier New" w:hAnsi="Courier New" w:hint="default"/>
        <w:sz w:val="20"/>
      </w:rPr>
    </w:lvl>
    <w:lvl w:ilvl="2" w:tplc="18DC0AF2" w:tentative="1">
      <w:start w:val="1"/>
      <w:numFmt w:val="bullet"/>
      <w:lvlText w:val=""/>
      <w:lvlJc w:val="left"/>
      <w:pPr>
        <w:tabs>
          <w:tab w:val="num" w:pos="2160"/>
        </w:tabs>
        <w:ind w:left="2160" w:hanging="360"/>
      </w:pPr>
      <w:rPr>
        <w:rFonts w:ascii="Wingdings" w:hAnsi="Wingdings" w:hint="default"/>
        <w:sz w:val="20"/>
      </w:rPr>
    </w:lvl>
    <w:lvl w:ilvl="3" w:tplc="2CF4ED28" w:tentative="1">
      <w:start w:val="1"/>
      <w:numFmt w:val="bullet"/>
      <w:lvlText w:val=""/>
      <w:lvlJc w:val="left"/>
      <w:pPr>
        <w:tabs>
          <w:tab w:val="num" w:pos="2880"/>
        </w:tabs>
        <w:ind w:left="2880" w:hanging="360"/>
      </w:pPr>
      <w:rPr>
        <w:rFonts w:ascii="Wingdings" w:hAnsi="Wingdings" w:hint="default"/>
        <w:sz w:val="20"/>
      </w:rPr>
    </w:lvl>
    <w:lvl w:ilvl="4" w:tplc="A9C0BFBE" w:tentative="1">
      <w:start w:val="1"/>
      <w:numFmt w:val="bullet"/>
      <w:lvlText w:val=""/>
      <w:lvlJc w:val="left"/>
      <w:pPr>
        <w:tabs>
          <w:tab w:val="num" w:pos="3600"/>
        </w:tabs>
        <w:ind w:left="3600" w:hanging="360"/>
      </w:pPr>
      <w:rPr>
        <w:rFonts w:ascii="Wingdings" w:hAnsi="Wingdings" w:hint="default"/>
        <w:sz w:val="20"/>
      </w:rPr>
    </w:lvl>
    <w:lvl w:ilvl="5" w:tplc="868E6968" w:tentative="1">
      <w:start w:val="1"/>
      <w:numFmt w:val="bullet"/>
      <w:lvlText w:val=""/>
      <w:lvlJc w:val="left"/>
      <w:pPr>
        <w:tabs>
          <w:tab w:val="num" w:pos="4320"/>
        </w:tabs>
        <w:ind w:left="4320" w:hanging="360"/>
      </w:pPr>
      <w:rPr>
        <w:rFonts w:ascii="Wingdings" w:hAnsi="Wingdings" w:hint="default"/>
        <w:sz w:val="20"/>
      </w:rPr>
    </w:lvl>
    <w:lvl w:ilvl="6" w:tplc="4498F3CE" w:tentative="1">
      <w:start w:val="1"/>
      <w:numFmt w:val="bullet"/>
      <w:lvlText w:val=""/>
      <w:lvlJc w:val="left"/>
      <w:pPr>
        <w:tabs>
          <w:tab w:val="num" w:pos="5040"/>
        </w:tabs>
        <w:ind w:left="5040" w:hanging="360"/>
      </w:pPr>
      <w:rPr>
        <w:rFonts w:ascii="Wingdings" w:hAnsi="Wingdings" w:hint="default"/>
        <w:sz w:val="20"/>
      </w:rPr>
    </w:lvl>
    <w:lvl w:ilvl="7" w:tplc="B82C1E5C" w:tentative="1">
      <w:start w:val="1"/>
      <w:numFmt w:val="bullet"/>
      <w:lvlText w:val=""/>
      <w:lvlJc w:val="left"/>
      <w:pPr>
        <w:tabs>
          <w:tab w:val="num" w:pos="5760"/>
        </w:tabs>
        <w:ind w:left="5760" w:hanging="360"/>
      </w:pPr>
      <w:rPr>
        <w:rFonts w:ascii="Wingdings" w:hAnsi="Wingdings" w:hint="default"/>
        <w:sz w:val="20"/>
      </w:rPr>
    </w:lvl>
    <w:lvl w:ilvl="8" w:tplc="19CE629E"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D48ADC"/>
    <w:multiLevelType w:val="hybridMultilevel"/>
    <w:tmpl w:val="9BFCB1A6"/>
    <w:lvl w:ilvl="0" w:tplc="B0CE6E02">
      <w:start w:val="1"/>
      <w:numFmt w:val="decimal"/>
      <w:lvlText w:val="%1."/>
      <w:lvlJc w:val="left"/>
      <w:pPr>
        <w:ind w:left="720" w:hanging="360"/>
      </w:pPr>
    </w:lvl>
    <w:lvl w:ilvl="1" w:tplc="B73E426A">
      <w:start w:val="1"/>
      <w:numFmt w:val="lowerLetter"/>
      <w:lvlText w:val="%2."/>
      <w:lvlJc w:val="left"/>
      <w:pPr>
        <w:ind w:left="1440" w:hanging="360"/>
      </w:pPr>
    </w:lvl>
    <w:lvl w:ilvl="2" w:tplc="4F82810A">
      <w:start w:val="1"/>
      <w:numFmt w:val="lowerRoman"/>
      <w:lvlText w:val="%3."/>
      <w:lvlJc w:val="right"/>
      <w:pPr>
        <w:ind w:left="2160" w:hanging="180"/>
      </w:pPr>
    </w:lvl>
    <w:lvl w:ilvl="3" w:tplc="F906FCFA">
      <w:start w:val="1"/>
      <w:numFmt w:val="decimal"/>
      <w:lvlText w:val="%4."/>
      <w:lvlJc w:val="left"/>
      <w:pPr>
        <w:ind w:left="2880" w:hanging="360"/>
      </w:pPr>
    </w:lvl>
    <w:lvl w:ilvl="4" w:tplc="D1147FEC">
      <w:start w:val="1"/>
      <w:numFmt w:val="lowerLetter"/>
      <w:lvlText w:val="%5."/>
      <w:lvlJc w:val="left"/>
      <w:pPr>
        <w:ind w:left="3600" w:hanging="360"/>
      </w:pPr>
    </w:lvl>
    <w:lvl w:ilvl="5" w:tplc="05609454">
      <w:start w:val="1"/>
      <w:numFmt w:val="lowerRoman"/>
      <w:lvlText w:val="%6."/>
      <w:lvlJc w:val="right"/>
      <w:pPr>
        <w:ind w:left="4320" w:hanging="180"/>
      </w:pPr>
    </w:lvl>
    <w:lvl w:ilvl="6" w:tplc="F87EC20C">
      <w:start w:val="1"/>
      <w:numFmt w:val="decimal"/>
      <w:lvlText w:val="%7."/>
      <w:lvlJc w:val="left"/>
      <w:pPr>
        <w:ind w:left="5040" w:hanging="360"/>
      </w:pPr>
    </w:lvl>
    <w:lvl w:ilvl="7" w:tplc="EC227250">
      <w:start w:val="1"/>
      <w:numFmt w:val="lowerLetter"/>
      <w:lvlText w:val="%8."/>
      <w:lvlJc w:val="left"/>
      <w:pPr>
        <w:ind w:left="5760" w:hanging="360"/>
      </w:pPr>
    </w:lvl>
    <w:lvl w:ilvl="8" w:tplc="08842E4C">
      <w:start w:val="1"/>
      <w:numFmt w:val="lowerRoman"/>
      <w:lvlText w:val="%9."/>
      <w:lvlJc w:val="right"/>
      <w:pPr>
        <w:ind w:left="6480" w:hanging="180"/>
      </w:pPr>
    </w:lvl>
  </w:abstractNum>
  <w:abstractNum w:abstractNumId="50" w15:restartNumberingAfterBreak="0">
    <w:nsid w:val="75127593"/>
    <w:multiLevelType w:val="hybridMultilevel"/>
    <w:tmpl w:val="D78CA6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7BEF5407"/>
    <w:multiLevelType w:val="multilevel"/>
    <w:tmpl w:val="E9D2CC7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2" w15:restartNumberingAfterBreak="0">
    <w:nsid w:val="7C896EB1"/>
    <w:multiLevelType w:val="hybridMultilevel"/>
    <w:tmpl w:val="8C68DAE6"/>
    <w:lvl w:ilvl="0" w:tplc="1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53" w15:restartNumberingAfterBreak="0">
    <w:nsid w:val="7CA35338"/>
    <w:multiLevelType w:val="hybridMultilevel"/>
    <w:tmpl w:val="8C923924"/>
    <w:lvl w:ilvl="0" w:tplc="E1783806">
      <w:start w:val="1"/>
      <w:numFmt w:val="bullet"/>
      <w:lvlText w:val=""/>
      <w:lvlJc w:val="left"/>
      <w:pPr>
        <w:tabs>
          <w:tab w:val="num" w:pos="720"/>
        </w:tabs>
        <w:ind w:left="720" w:hanging="360"/>
      </w:pPr>
      <w:rPr>
        <w:rFonts w:ascii="Symbol" w:hAnsi="Symbol" w:hint="default"/>
        <w:sz w:val="20"/>
      </w:rPr>
    </w:lvl>
    <w:lvl w:ilvl="1" w:tplc="99FE5406" w:tentative="1">
      <w:start w:val="1"/>
      <w:numFmt w:val="bullet"/>
      <w:lvlText w:val="o"/>
      <w:lvlJc w:val="left"/>
      <w:pPr>
        <w:tabs>
          <w:tab w:val="num" w:pos="1440"/>
        </w:tabs>
        <w:ind w:left="1440" w:hanging="360"/>
      </w:pPr>
      <w:rPr>
        <w:rFonts w:ascii="Courier New" w:hAnsi="Courier New" w:hint="default"/>
        <w:sz w:val="20"/>
      </w:rPr>
    </w:lvl>
    <w:lvl w:ilvl="2" w:tplc="EE7A625C" w:tentative="1">
      <w:start w:val="1"/>
      <w:numFmt w:val="bullet"/>
      <w:lvlText w:val=""/>
      <w:lvlJc w:val="left"/>
      <w:pPr>
        <w:tabs>
          <w:tab w:val="num" w:pos="2160"/>
        </w:tabs>
        <w:ind w:left="2160" w:hanging="360"/>
      </w:pPr>
      <w:rPr>
        <w:rFonts w:ascii="Wingdings" w:hAnsi="Wingdings" w:hint="default"/>
        <w:sz w:val="20"/>
      </w:rPr>
    </w:lvl>
    <w:lvl w:ilvl="3" w:tplc="DEC272DA" w:tentative="1">
      <w:start w:val="1"/>
      <w:numFmt w:val="bullet"/>
      <w:lvlText w:val=""/>
      <w:lvlJc w:val="left"/>
      <w:pPr>
        <w:tabs>
          <w:tab w:val="num" w:pos="2880"/>
        </w:tabs>
        <w:ind w:left="2880" w:hanging="360"/>
      </w:pPr>
      <w:rPr>
        <w:rFonts w:ascii="Wingdings" w:hAnsi="Wingdings" w:hint="default"/>
        <w:sz w:val="20"/>
      </w:rPr>
    </w:lvl>
    <w:lvl w:ilvl="4" w:tplc="8DCAFABE" w:tentative="1">
      <w:start w:val="1"/>
      <w:numFmt w:val="bullet"/>
      <w:lvlText w:val=""/>
      <w:lvlJc w:val="left"/>
      <w:pPr>
        <w:tabs>
          <w:tab w:val="num" w:pos="3600"/>
        </w:tabs>
        <w:ind w:left="3600" w:hanging="360"/>
      </w:pPr>
      <w:rPr>
        <w:rFonts w:ascii="Wingdings" w:hAnsi="Wingdings" w:hint="default"/>
        <w:sz w:val="20"/>
      </w:rPr>
    </w:lvl>
    <w:lvl w:ilvl="5" w:tplc="FACE3D38" w:tentative="1">
      <w:start w:val="1"/>
      <w:numFmt w:val="bullet"/>
      <w:lvlText w:val=""/>
      <w:lvlJc w:val="left"/>
      <w:pPr>
        <w:tabs>
          <w:tab w:val="num" w:pos="4320"/>
        </w:tabs>
        <w:ind w:left="4320" w:hanging="360"/>
      </w:pPr>
      <w:rPr>
        <w:rFonts w:ascii="Wingdings" w:hAnsi="Wingdings" w:hint="default"/>
        <w:sz w:val="20"/>
      </w:rPr>
    </w:lvl>
    <w:lvl w:ilvl="6" w:tplc="ED42A878" w:tentative="1">
      <w:start w:val="1"/>
      <w:numFmt w:val="bullet"/>
      <w:lvlText w:val=""/>
      <w:lvlJc w:val="left"/>
      <w:pPr>
        <w:tabs>
          <w:tab w:val="num" w:pos="5040"/>
        </w:tabs>
        <w:ind w:left="5040" w:hanging="360"/>
      </w:pPr>
      <w:rPr>
        <w:rFonts w:ascii="Wingdings" w:hAnsi="Wingdings" w:hint="default"/>
        <w:sz w:val="20"/>
      </w:rPr>
    </w:lvl>
    <w:lvl w:ilvl="7" w:tplc="6F06944C" w:tentative="1">
      <w:start w:val="1"/>
      <w:numFmt w:val="bullet"/>
      <w:lvlText w:val=""/>
      <w:lvlJc w:val="left"/>
      <w:pPr>
        <w:tabs>
          <w:tab w:val="num" w:pos="5760"/>
        </w:tabs>
        <w:ind w:left="5760" w:hanging="360"/>
      </w:pPr>
      <w:rPr>
        <w:rFonts w:ascii="Wingdings" w:hAnsi="Wingdings" w:hint="default"/>
        <w:sz w:val="20"/>
      </w:rPr>
    </w:lvl>
    <w:lvl w:ilvl="8" w:tplc="B4DC05FC"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A95A77"/>
    <w:multiLevelType w:val="hybridMultilevel"/>
    <w:tmpl w:val="9A4CC676"/>
    <w:lvl w:ilvl="0" w:tplc="FF783156">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5" w15:restartNumberingAfterBreak="0">
    <w:nsid w:val="7F536A6B"/>
    <w:multiLevelType w:val="hybridMultilevel"/>
    <w:tmpl w:val="8766F6E2"/>
    <w:lvl w:ilvl="0" w:tplc="C35C1FEC">
      <w:start w:val="1"/>
      <w:numFmt w:val="bullet"/>
      <w:lvlText w:val="-"/>
      <w:lvlJc w:val="left"/>
      <w:pPr>
        <w:ind w:left="360" w:hanging="360"/>
      </w:pPr>
      <w:rPr>
        <w:rFonts w:ascii="Calibri" w:hAnsi="Calibri" w:hint="default"/>
      </w:rPr>
    </w:lvl>
    <w:lvl w:ilvl="1" w:tplc="F83A7310">
      <w:start w:val="1"/>
      <w:numFmt w:val="bullet"/>
      <w:lvlText w:val="o"/>
      <w:lvlJc w:val="left"/>
      <w:pPr>
        <w:ind w:left="1080" w:hanging="360"/>
      </w:pPr>
      <w:rPr>
        <w:rFonts w:ascii="Courier New" w:hAnsi="Courier New" w:hint="default"/>
      </w:rPr>
    </w:lvl>
    <w:lvl w:ilvl="2" w:tplc="911444FA">
      <w:start w:val="1"/>
      <w:numFmt w:val="bullet"/>
      <w:lvlText w:val=""/>
      <w:lvlJc w:val="left"/>
      <w:pPr>
        <w:ind w:left="1800" w:hanging="360"/>
      </w:pPr>
      <w:rPr>
        <w:rFonts w:ascii="Wingdings" w:hAnsi="Wingdings" w:hint="default"/>
      </w:rPr>
    </w:lvl>
    <w:lvl w:ilvl="3" w:tplc="86608AAA">
      <w:start w:val="1"/>
      <w:numFmt w:val="bullet"/>
      <w:lvlText w:val=""/>
      <w:lvlJc w:val="left"/>
      <w:pPr>
        <w:ind w:left="2520" w:hanging="360"/>
      </w:pPr>
      <w:rPr>
        <w:rFonts w:ascii="Symbol" w:hAnsi="Symbol" w:hint="default"/>
      </w:rPr>
    </w:lvl>
    <w:lvl w:ilvl="4" w:tplc="3EB043A4">
      <w:start w:val="1"/>
      <w:numFmt w:val="bullet"/>
      <w:lvlText w:val="o"/>
      <w:lvlJc w:val="left"/>
      <w:pPr>
        <w:ind w:left="3240" w:hanging="360"/>
      </w:pPr>
      <w:rPr>
        <w:rFonts w:ascii="Courier New" w:hAnsi="Courier New" w:hint="default"/>
      </w:rPr>
    </w:lvl>
    <w:lvl w:ilvl="5" w:tplc="759E9E8E">
      <w:start w:val="1"/>
      <w:numFmt w:val="bullet"/>
      <w:lvlText w:val=""/>
      <w:lvlJc w:val="left"/>
      <w:pPr>
        <w:ind w:left="3960" w:hanging="360"/>
      </w:pPr>
      <w:rPr>
        <w:rFonts w:ascii="Wingdings" w:hAnsi="Wingdings" w:hint="default"/>
      </w:rPr>
    </w:lvl>
    <w:lvl w:ilvl="6" w:tplc="598003BC">
      <w:start w:val="1"/>
      <w:numFmt w:val="bullet"/>
      <w:lvlText w:val=""/>
      <w:lvlJc w:val="left"/>
      <w:pPr>
        <w:ind w:left="4680" w:hanging="360"/>
      </w:pPr>
      <w:rPr>
        <w:rFonts w:ascii="Symbol" w:hAnsi="Symbol" w:hint="default"/>
      </w:rPr>
    </w:lvl>
    <w:lvl w:ilvl="7" w:tplc="C12EB6A8">
      <w:start w:val="1"/>
      <w:numFmt w:val="bullet"/>
      <w:lvlText w:val="o"/>
      <w:lvlJc w:val="left"/>
      <w:pPr>
        <w:ind w:left="5400" w:hanging="360"/>
      </w:pPr>
      <w:rPr>
        <w:rFonts w:ascii="Courier New" w:hAnsi="Courier New" w:hint="default"/>
      </w:rPr>
    </w:lvl>
    <w:lvl w:ilvl="8" w:tplc="D2CA10BA">
      <w:start w:val="1"/>
      <w:numFmt w:val="bullet"/>
      <w:lvlText w:val=""/>
      <w:lvlJc w:val="left"/>
      <w:pPr>
        <w:ind w:left="6120" w:hanging="360"/>
      </w:pPr>
      <w:rPr>
        <w:rFonts w:ascii="Wingdings" w:hAnsi="Wingdings" w:hint="default"/>
      </w:rPr>
    </w:lvl>
  </w:abstractNum>
  <w:num w:numId="1" w16cid:durableId="1389457493">
    <w:abstractNumId w:val="3"/>
  </w:num>
  <w:num w:numId="2" w16cid:durableId="2146073368">
    <w:abstractNumId w:val="49"/>
  </w:num>
  <w:num w:numId="3" w16cid:durableId="1477181568">
    <w:abstractNumId w:val="29"/>
  </w:num>
  <w:num w:numId="4" w16cid:durableId="23871084">
    <w:abstractNumId w:val="48"/>
  </w:num>
  <w:num w:numId="5" w16cid:durableId="120728857">
    <w:abstractNumId w:val="53"/>
  </w:num>
  <w:num w:numId="6" w16cid:durableId="1147161998">
    <w:abstractNumId w:val="35"/>
  </w:num>
  <w:num w:numId="7" w16cid:durableId="8877548">
    <w:abstractNumId w:val="14"/>
  </w:num>
  <w:num w:numId="8" w16cid:durableId="1991517229">
    <w:abstractNumId w:val="37"/>
  </w:num>
  <w:num w:numId="9" w16cid:durableId="551767135">
    <w:abstractNumId w:val="0"/>
    <w:lvlOverride w:ilvl="0">
      <w:lvl w:ilvl="0">
        <w:start w:val="1"/>
        <w:numFmt w:val="bullet"/>
        <w:lvlText w:val=""/>
        <w:legacy w:legacy="1" w:legacySpace="0" w:legacyIndent="283"/>
        <w:lvlJc w:val="left"/>
        <w:pPr>
          <w:ind w:left="851" w:hanging="283"/>
        </w:pPr>
        <w:rPr>
          <w:rFonts w:ascii="Symbol" w:hAnsi="Symbol" w:hint="default"/>
        </w:rPr>
      </w:lvl>
    </w:lvlOverride>
  </w:num>
  <w:num w:numId="10" w16cid:durableId="248006249">
    <w:abstractNumId w:val="34"/>
  </w:num>
  <w:num w:numId="11" w16cid:durableId="870151677">
    <w:abstractNumId w:val="24"/>
  </w:num>
  <w:num w:numId="12" w16cid:durableId="1853521675">
    <w:abstractNumId w:val="41"/>
  </w:num>
  <w:num w:numId="13" w16cid:durableId="261037501">
    <w:abstractNumId w:val="33"/>
  </w:num>
  <w:num w:numId="14" w16cid:durableId="2018267837">
    <w:abstractNumId w:val="13"/>
  </w:num>
  <w:num w:numId="15" w16cid:durableId="2045399884">
    <w:abstractNumId w:val="44"/>
  </w:num>
  <w:num w:numId="16" w16cid:durableId="834228251">
    <w:abstractNumId w:val="19"/>
  </w:num>
  <w:num w:numId="17" w16cid:durableId="1043671301">
    <w:abstractNumId w:val="27"/>
  </w:num>
  <w:num w:numId="18" w16cid:durableId="365639305">
    <w:abstractNumId w:val="23"/>
  </w:num>
  <w:num w:numId="19" w16cid:durableId="1500151745">
    <w:abstractNumId w:val="15"/>
  </w:num>
  <w:num w:numId="20" w16cid:durableId="1443383715">
    <w:abstractNumId w:val="30"/>
  </w:num>
  <w:num w:numId="21" w16cid:durableId="1847090219">
    <w:abstractNumId w:val="47"/>
  </w:num>
  <w:num w:numId="22" w16cid:durableId="1888563276">
    <w:abstractNumId w:val="32"/>
  </w:num>
  <w:num w:numId="23" w16cid:durableId="559248394">
    <w:abstractNumId w:val="45"/>
  </w:num>
  <w:num w:numId="24" w16cid:durableId="1760785420">
    <w:abstractNumId w:val="40"/>
  </w:num>
  <w:num w:numId="25" w16cid:durableId="1383094270">
    <w:abstractNumId w:val="42"/>
  </w:num>
  <w:num w:numId="26" w16cid:durableId="2025326894">
    <w:abstractNumId w:val="21"/>
  </w:num>
  <w:num w:numId="27" w16cid:durableId="1568688985">
    <w:abstractNumId w:val="25"/>
  </w:num>
  <w:num w:numId="28" w16cid:durableId="1506166843">
    <w:abstractNumId w:val="17"/>
  </w:num>
  <w:num w:numId="29" w16cid:durableId="1393889921">
    <w:abstractNumId w:val="55"/>
  </w:num>
  <w:num w:numId="30" w16cid:durableId="535002390">
    <w:abstractNumId w:val="1"/>
  </w:num>
  <w:num w:numId="31" w16cid:durableId="1997296345">
    <w:abstractNumId w:val="8"/>
  </w:num>
  <w:num w:numId="32" w16cid:durableId="350108218">
    <w:abstractNumId w:val="28"/>
  </w:num>
  <w:num w:numId="33" w16cid:durableId="1898780892">
    <w:abstractNumId w:val="11"/>
  </w:num>
  <w:num w:numId="34" w16cid:durableId="1539245542">
    <w:abstractNumId w:val="16"/>
  </w:num>
  <w:num w:numId="35" w16cid:durableId="1972709555">
    <w:abstractNumId w:val="54"/>
  </w:num>
  <w:num w:numId="36" w16cid:durableId="341661304">
    <w:abstractNumId w:val="9"/>
  </w:num>
  <w:num w:numId="37" w16cid:durableId="2145805188">
    <w:abstractNumId w:val="39"/>
  </w:num>
  <w:num w:numId="38" w16cid:durableId="2057700073">
    <w:abstractNumId w:val="20"/>
  </w:num>
  <w:num w:numId="39" w16cid:durableId="1107577554">
    <w:abstractNumId w:val="2"/>
  </w:num>
  <w:num w:numId="40" w16cid:durableId="205728233">
    <w:abstractNumId w:val="26"/>
  </w:num>
  <w:num w:numId="41" w16cid:durableId="2127389864">
    <w:abstractNumId w:val="7"/>
  </w:num>
  <w:num w:numId="42" w16cid:durableId="1217424678">
    <w:abstractNumId w:val="10"/>
  </w:num>
  <w:num w:numId="43" w16cid:durableId="188185534">
    <w:abstractNumId w:val="12"/>
  </w:num>
  <w:num w:numId="44" w16cid:durableId="2146697600">
    <w:abstractNumId w:val="36"/>
  </w:num>
  <w:num w:numId="45" w16cid:durableId="1171529347">
    <w:abstractNumId w:val="4"/>
  </w:num>
  <w:num w:numId="46" w16cid:durableId="1239941760">
    <w:abstractNumId w:val="22"/>
  </w:num>
  <w:num w:numId="47" w16cid:durableId="494344528">
    <w:abstractNumId w:val="18"/>
  </w:num>
  <w:num w:numId="48" w16cid:durableId="1267692781">
    <w:abstractNumId w:val="46"/>
  </w:num>
  <w:num w:numId="49" w16cid:durableId="1295716205">
    <w:abstractNumId w:val="51"/>
  </w:num>
  <w:num w:numId="50" w16cid:durableId="1083255239">
    <w:abstractNumId w:val="50"/>
  </w:num>
  <w:num w:numId="51" w16cid:durableId="1715738434">
    <w:abstractNumId w:val="43"/>
  </w:num>
  <w:num w:numId="52" w16cid:durableId="62996068">
    <w:abstractNumId w:val="6"/>
  </w:num>
  <w:num w:numId="53" w16cid:durableId="1419790448">
    <w:abstractNumId w:val="52"/>
  </w:num>
  <w:num w:numId="54" w16cid:durableId="437911714">
    <w:abstractNumId w:val="5"/>
  </w:num>
  <w:num w:numId="55" w16cid:durableId="1799759791">
    <w:abstractNumId w:val="31"/>
  </w:num>
  <w:num w:numId="56" w16cid:durableId="7232118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6F"/>
    <w:rsid w:val="00001685"/>
    <w:rsid w:val="00001C82"/>
    <w:rsid w:val="0000246A"/>
    <w:rsid w:val="00007035"/>
    <w:rsid w:val="00010C65"/>
    <w:rsid w:val="00017D3C"/>
    <w:rsid w:val="000205A4"/>
    <w:rsid w:val="00020FFA"/>
    <w:rsid w:val="000211DD"/>
    <w:rsid w:val="00022120"/>
    <w:rsid w:val="0002220F"/>
    <w:rsid w:val="000254F3"/>
    <w:rsid w:val="00030C87"/>
    <w:rsid w:val="00032B29"/>
    <w:rsid w:val="00036AE1"/>
    <w:rsid w:val="000373A8"/>
    <w:rsid w:val="0004230D"/>
    <w:rsid w:val="0004551E"/>
    <w:rsid w:val="000459DC"/>
    <w:rsid w:val="00045B21"/>
    <w:rsid w:val="00045D13"/>
    <w:rsid w:val="000501E9"/>
    <w:rsid w:val="00053725"/>
    <w:rsid w:val="0005476B"/>
    <w:rsid w:val="00054ADC"/>
    <w:rsid w:val="00056D52"/>
    <w:rsid w:val="0006288B"/>
    <w:rsid w:val="00063A8C"/>
    <w:rsid w:val="00065DF2"/>
    <w:rsid w:val="000671E2"/>
    <w:rsid w:val="0007238C"/>
    <w:rsid w:val="000756A7"/>
    <w:rsid w:val="000764DC"/>
    <w:rsid w:val="00080B04"/>
    <w:rsid w:val="00080D33"/>
    <w:rsid w:val="0008316A"/>
    <w:rsid w:val="00090453"/>
    <w:rsid w:val="00090B31"/>
    <w:rsid w:val="00090D45"/>
    <w:rsid w:val="000912C7"/>
    <w:rsid w:val="00092316"/>
    <w:rsid w:val="0009465C"/>
    <w:rsid w:val="00096100"/>
    <w:rsid w:val="000A05E1"/>
    <w:rsid w:val="000A2E93"/>
    <w:rsid w:val="000A3E42"/>
    <w:rsid w:val="000A4240"/>
    <w:rsid w:val="000A7523"/>
    <w:rsid w:val="000A7879"/>
    <w:rsid w:val="000B11E2"/>
    <w:rsid w:val="000B32D0"/>
    <w:rsid w:val="000B3E49"/>
    <w:rsid w:val="000B4469"/>
    <w:rsid w:val="000B6D16"/>
    <w:rsid w:val="000C06F9"/>
    <w:rsid w:val="000C75CD"/>
    <w:rsid w:val="000C77E0"/>
    <w:rsid w:val="000D0F15"/>
    <w:rsid w:val="000D14FF"/>
    <w:rsid w:val="000D63A6"/>
    <w:rsid w:val="000D6A32"/>
    <w:rsid w:val="000D7AE0"/>
    <w:rsid w:val="000E27E9"/>
    <w:rsid w:val="000E28E5"/>
    <w:rsid w:val="000E3350"/>
    <w:rsid w:val="000E5ED9"/>
    <w:rsid w:val="000F140C"/>
    <w:rsid w:val="000F25B2"/>
    <w:rsid w:val="000F38EE"/>
    <w:rsid w:val="00101BE9"/>
    <w:rsid w:val="00103F9F"/>
    <w:rsid w:val="001076B2"/>
    <w:rsid w:val="00111114"/>
    <w:rsid w:val="001169D0"/>
    <w:rsid w:val="00122DB8"/>
    <w:rsid w:val="0012381A"/>
    <w:rsid w:val="001259D7"/>
    <w:rsid w:val="001311D2"/>
    <w:rsid w:val="00131FDE"/>
    <w:rsid w:val="00133F56"/>
    <w:rsid w:val="001426B0"/>
    <w:rsid w:val="00144315"/>
    <w:rsid w:val="001475E4"/>
    <w:rsid w:val="00147698"/>
    <w:rsid w:val="00151F7C"/>
    <w:rsid w:val="00153E9E"/>
    <w:rsid w:val="00155658"/>
    <w:rsid w:val="001612D2"/>
    <w:rsid w:val="00161C7B"/>
    <w:rsid w:val="00161FA2"/>
    <w:rsid w:val="00163C0A"/>
    <w:rsid w:val="00164E0D"/>
    <w:rsid w:val="00166377"/>
    <w:rsid w:val="00167D36"/>
    <w:rsid w:val="0017126F"/>
    <w:rsid w:val="00174600"/>
    <w:rsid w:val="00174A34"/>
    <w:rsid w:val="0017517A"/>
    <w:rsid w:val="00176E23"/>
    <w:rsid w:val="001771A4"/>
    <w:rsid w:val="00177B1C"/>
    <w:rsid w:val="00180431"/>
    <w:rsid w:val="00180492"/>
    <w:rsid w:val="0018116B"/>
    <w:rsid w:val="00182D36"/>
    <w:rsid w:val="00182EEB"/>
    <w:rsid w:val="00187E26"/>
    <w:rsid w:val="00191F9B"/>
    <w:rsid w:val="00194853"/>
    <w:rsid w:val="00195A53"/>
    <w:rsid w:val="00197BF9"/>
    <w:rsid w:val="001A49F7"/>
    <w:rsid w:val="001B2B0D"/>
    <w:rsid w:val="001B3539"/>
    <w:rsid w:val="001B5AC9"/>
    <w:rsid w:val="001B6080"/>
    <w:rsid w:val="001B75E5"/>
    <w:rsid w:val="001C1BC9"/>
    <w:rsid w:val="001C2E97"/>
    <w:rsid w:val="001C3CE3"/>
    <w:rsid w:val="001C3FD6"/>
    <w:rsid w:val="001C477E"/>
    <w:rsid w:val="001C6681"/>
    <w:rsid w:val="001C76E6"/>
    <w:rsid w:val="001C7E63"/>
    <w:rsid w:val="001D0AF9"/>
    <w:rsid w:val="001D24EA"/>
    <w:rsid w:val="001D3885"/>
    <w:rsid w:val="001D4283"/>
    <w:rsid w:val="001D4804"/>
    <w:rsid w:val="001E3D17"/>
    <w:rsid w:val="001F27CD"/>
    <w:rsid w:val="001F33A4"/>
    <w:rsid w:val="001F50A8"/>
    <w:rsid w:val="00201EB0"/>
    <w:rsid w:val="002031A1"/>
    <w:rsid w:val="0020573D"/>
    <w:rsid w:val="00205E94"/>
    <w:rsid w:val="00207A71"/>
    <w:rsid w:val="00210280"/>
    <w:rsid w:val="002138AE"/>
    <w:rsid w:val="00217F2C"/>
    <w:rsid w:val="00220FEF"/>
    <w:rsid w:val="00221B28"/>
    <w:rsid w:val="0022253A"/>
    <w:rsid w:val="00222EE6"/>
    <w:rsid w:val="002246B6"/>
    <w:rsid w:val="0022549D"/>
    <w:rsid w:val="00237C1F"/>
    <w:rsid w:val="002408BA"/>
    <w:rsid w:val="00242AB8"/>
    <w:rsid w:val="00245E7E"/>
    <w:rsid w:val="00246E96"/>
    <w:rsid w:val="002515D6"/>
    <w:rsid w:val="00252493"/>
    <w:rsid w:val="00254A42"/>
    <w:rsid w:val="0025725B"/>
    <w:rsid w:val="00261055"/>
    <w:rsid w:val="00263271"/>
    <w:rsid w:val="00270808"/>
    <w:rsid w:val="00271CD6"/>
    <w:rsid w:val="002723D3"/>
    <w:rsid w:val="002734CA"/>
    <w:rsid w:val="00274877"/>
    <w:rsid w:val="00276F21"/>
    <w:rsid w:val="00281728"/>
    <w:rsid w:val="00281AEB"/>
    <w:rsid w:val="002826D3"/>
    <w:rsid w:val="00287474"/>
    <w:rsid w:val="00287475"/>
    <w:rsid w:val="0029137D"/>
    <w:rsid w:val="002922CC"/>
    <w:rsid w:val="00293A82"/>
    <w:rsid w:val="00293F3C"/>
    <w:rsid w:val="0029415E"/>
    <w:rsid w:val="00295107"/>
    <w:rsid w:val="002954B6"/>
    <w:rsid w:val="002956BB"/>
    <w:rsid w:val="00296130"/>
    <w:rsid w:val="002978F4"/>
    <w:rsid w:val="002A0F17"/>
    <w:rsid w:val="002A552D"/>
    <w:rsid w:val="002A5691"/>
    <w:rsid w:val="002A5984"/>
    <w:rsid w:val="002B08C2"/>
    <w:rsid w:val="002B2695"/>
    <w:rsid w:val="002B4C8C"/>
    <w:rsid w:val="002B4F22"/>
    <w:rsid w:val="002B53C7"/>
    <w:rsid w:val="002C700E"/>
    <w:rsid w:val="002D5329"/>
    <w:rsid w:val="002E2444"/>
    <w:rsid w:val="002F04B0"/>
    <w:rsid w:val="002F1F0E"/>
    <w:rsid w:val="002F5569"/>
    <w:rsid w:val="002F7E2C"/>
    <w:rsid w:val="003012A6"/>
    <w:rsid w:val="0030295B"/>
    <w:rsid w:val="00304286"/>
    <w:rsid w:val="00305403"/>
    <w:rsid w:val="00306141"/>
    <w:rsid w:val="003077F4"/>
    <w:rsid w:val="00310563"/>
    <w:rsid w:val="0031058A"/>
    <w:rsid w:val="00313AB0"/>
    <w:rsid w:val="003154D1"/>
    <w:rsid w:val="003154FB"/>
    <w:rsid w:val="00320148"/>
    <w:rsid w:val="0032040E"/>
    <w:rsid w:val="00320B68"/>
    <w:rsid w:val="003225A7"/>
    <w:rsid w:val="00324809"/>
    <w:rsid w:val="003266DD"/>
    <w:rsid w:val="00333F36"/>
    <w:rsid w:val="003341FF"/>
    <w:rsid w:val="00334B1E"/>
    <w:rsid w:val="0033682F"/>
    <w:rsid w:val="00340ED7"/>
    <w:rsid w:val="00341B61"/>
    <w:rsid w:val="00345D22"/>
    <w:rsid w:val="00346756"/>
    <w:rsid w:val="003471F3"/>
    <w:rsid w:val="00347EA8"/>
    <w:rsid w:val="003509BF"/>
    <w:rsid w:val="00350AE6"/>
    <w:rsid w:val="00350E24"/>
    <w:rsid w:val="00350FD5"/>
    <w:rsid w:val="003511FA"/>
    <w:rsid w:val="00351935"/>
    <w:rsid w:val="00351FEE"/>
    <w:rsid w:val="0035335B"/>
    <w:rsid w:val="003533F5"/>
    <w:rsid w:val="00356372"/>
    <w:rsid w:val="00360F40"/>
    <w:rsid w:val="003614DF"/>
    <w:rsid w:val="00363903"/>
    <w:rsid w:val="00364BBC"/>
    <w:rsid w:val="003650DD"/>
    <w:rsid w:val="003658AB"/>
    <w:rsid w:val="00371DD2"/>
    <w:rsid w:val="00373121"/>
    <w:rsid w:val="00380981"/>
    <w:rsid w:val="00381264"/>
    <w:rsid w:val="00381856"/>
    <w:rsid w:val="00381FBF"/>
    <w:rsid w:val="0038209D"/>
    <w:rsid w:val="003838AF"/>
    <w:rsid w:val="00385058"/>
    <w:rsid w:val="00386BAE"/>
    <w:rsid w:val="003901B0"/>
    <w:rsid w:val="003947CC"/>
    <w:rsid w:val="00394FD3"/>
    <w:rsid w:val="00395424"/>
    <w:rsid w:val="00395D26"/>
    <w:rsid w:val="00396827"/>
    <w:rsid w:val="00396BDE"/>
    <w:rsid w:val="003A3667"/>
    <w:rsid w:val="003A4A87"/>
    <w:rsid w:val="003A5CC6"/>
    <w:rsid w:val="003A6E32"/>
    <w:rsid w:val="003B26D4"/>
    <w:rsid w:val="003B350B"/>
    <w:rsid w:val="003B6452"/>
    <w:rsid w:val="003B7576"/>
    <w:rsid w:val="003B79E5"/>
    <w:rsid w:val="003C09E0"/>
    <w:rsid w:val="003C1D2F"/>
    <w:rsid w:val="003C5DE3"/>
    <w:rsid w:val="003C6232"/>
    <w:rsid w:val="003C7325"/>
    <w:rsid w:val="003D18FD"/>
    <w:rsid w:val="003D3DEB"/>
    <w:rsid w:val="003D6ACA"/>
    <w:rsid w:val="003E131E"/>
    <w:rsid w:val="003E4221"/>
    <w:rsid w:val="003E53F2"/>
    <w:rsid w:val="003E7C39"/>
    <w:rsid w:val="003F250A"/>
    <w:rsid w:val="003F3921"/>
    <w:rsid w:val="003F448C"/>
    <w:rsid w:val="003F63BE"/>
    <w:rsid w:val="004029F1"/>
    <w:rsid w:val="0040474F"/>
    <w:rsid w:val="004059D3"/>
    <w:rsid w:val="00405FC2"/>
    <w:rsid w:val="0040647D"/>
    <w:rsid w:val="004072D8"/>
    <w:rsid w:val="004074CA"/>
    <w:rsid w:val="00410B5F"/>
    <w:rsid w:val="0041149B"/>
    <w:rsid w:val="0041704F"/>
    <w:rsid w:val="0042035B"/>
    <w:rsid w:val="00422F81"/>
    <w:rsid w:val="004231B1"/>
    <w:rsid w:val="00423C52"/>
    <w:rsid w:val="00431228"/>
    <w:rsid w:val="0043584D"/>
    <w:rsid w:val="00436037"/>
    <w:rsid w:val="00436112"/>
    <w:rsid w:val="004361B0"/>
    <w:rsid w:val="00436A62"/>
    <w:rsid w:val="004427F4"/>
    <w:rsid w:val="00443DFB"/>
    <w:rsid w:val="00444500"/>
    <w:rsid w:val="00444A4B"/>
    <w:rsid w:val="004500F2"/>
    <w:rsid w:val="00453418"/>
    <w:rsid w:val="00455037"/>
    <w:rsid w:val="00455B29"/>
    <w:rsid w:val="00461BE7"/>
    <w:rsid w:val="00463AEC"/>
    <w:rsid w:val="00464358"/>
    <w:rsid w:val="00464868"/>
    <w:rsid w:val="0047318A"/>
    <w:rsid w:val="00475B05"/>
    <w:rsid w:val="00475C4A"/>
    <w:rsid w:val="00476425"/>
    <w:rsid w:val="004807AF"/>
    <w:rsid w:val="00481718"/>
    <w:rsid w:val="004826B8"/>
    <w:rsid w:val="004848FF"/>
    <w:rsid w:val="00485AEB"/>
    <w:rsid w:val="004864D4"/>
    <w:rsid w:val="00491C16"/>
    <w:rsid w:val="00493757"/>
    <w:rsid w:val="00495CAD"/>
    <w:rsid w:val="004975E5"/>
    <w:rsid w:val="00497AA1"/>
    <w:rsid w:val="004A0D91"/>
    <w:rsid w:val="004A1EE2"/>
    <w:rsid w:val="004A28A7"/>
    <w:rsid w:val="004A35C3"/>
    <w:rsid w:val="004A36D2"/>
    <w:rsid w:val="004A4DE5"/>
    <w:rsid w:val="004B354C"/>
    <w:rsid w:val="004B67B2"/>
    <w:rsid w:val="004B690B"/>
    <w:rsid w:val="004C010A"/>
    <w:rsid w:val="004C4CCF"/>
    <w:rsid w:val="004C507C"/>
    <w:rsid w:val="004D05F9"/>
    <w:rsid w:val="004D1F75"/>
    <w:rsid w:val="004D47AB"/>
    <w:rsid w:val="004D50BB"/>
    <w:rsid w:val="004D6501"/>
    <w:rsid w:val="004D713B"/>
    <w:rsid w:val="004E0B2F"/>
    <w:rsid w:val="004E4FF4"/>
    <w:rsid w:val="004E7A9E"/>
    <w:rsid w:val="004F27D0"/>
    <w:rsid w:val="004F5EA8"/>
    <w:rsid w:val="004F60C8"/>
    <w:rsid w:val="005001D3"/>
    <w:rsid w:val="0050172A"/>
    <w:rsid w:val="00504D5F"/>
    <w:rsid w:val="00507B0B"/>
    <w:rsid w:val="00510348"/>
    <w:rsid w:val="00510FA6"/>
    <w:rsid w:val="005112C7"/>
    <w:rsid w:val="00513C26"/>
    <w:rsid w:val="005172EE"/>
    <w:rsid w:val="00520157"/>
    <w:rsid w:val="005201D1"/>
    <w:rsid w:val="00520556"/>
    <w:rsid w:val="005216A5"/>
    <w:rsid w:val="00523C38"/>
    <w:rsid w:val="005241FB"/>
    <w:rsid w:val="00524974"/>
    <w:rsid w:val="0052582C"/>
    <w:rsid w:val="005261CE"/>
    <w:rsid w:val="00526CC7"/>
    <w:rsid w:val="005349FE"/>
    <w:rsid w:val="0053601C"/>
    <w:rsid w:val="00536AAC"/>
    <w:rsid w:val="005407F5"/>
    <w:rsid w:val="005414E8"/>
    <w:rsid w:val="0054507E"/>
    <w:rsid w:val="00545515"/>
    <w:rsid w:val="00547DDF"/>
    <w:rsid w:val="00552958"/>
    <w:rsid w:val="00553D79"/>
    <w:rsid w:val="005569C6"/>
    <w:rsid w:val="00560037"/>
    <w:rsid w:val="005604F6"/>
    <w:rsid w:val="00562CCE"/>
    <w:rsid w:val="0056506C"/>
    <w:rsid w:val="00567639"/>
    <w:rsid w:val="00570EDB"/>
    <w:rsid w:val="00571807"/>
    <w:rsid w:val="00573398"/>
    <w:rsid w:val="00576D0F"/>
    <w:rsid w:val="00576F07"/>
    <w:rsid w:val="0058023B"/>
    <w:rsid w:val="0058094E"/>
    <w:rsid w:val="00583F53"/>
    <w:rsid w:val="00590B16"/>
    <w:rsid w:val="005916C0"/>
    <w:rsid w:val="00592046"/>
    <w:rsid w:val="005973F7"/>
    <w:rsid w:val="005A2F7D"/>
    <w:rsid w:val="005A3999"/>
    <w:rsid w:val="005A3E5E"/>
    <w:rsid w:val="005A5C68"/>
    <w:rsid w:val="005A771B"/>
    <w:rsid w:val="005A7DEC"/>
    <w:rsid w:val="005B28B2"/>
    <w:rsid w:val="005B2B2D"/>
    <w:rsid w:val="005B46C5"/>
    <w:rsid w:val="005B6BF5"/>
    <w:rsid w:val="005B7137"/>
    <w:rsid w:val="005B7F42"/>
    <w:rsid w:val="005B7F82"/>
    <w:rsid w:val="005C0015"/>
    <w:rsid w:val="005C1E93"/>
    <w:rsid w:val="005C2E00"/>
    <w:rsid w:val="005C32BA"/>
    <w:rsid w:val="005C5CD7"/>
    <w:rsid w:val="005C6BF4"/>
    <w:rsid w:val="005D1187"/>
    <w:rsid w:val="005D175C"/>
    <w:rsid w:val="005D1AB6"/>
    <w:rsid w:val="005D4395"/>
    <w:rsid w:val="005D7195"/>
    <w:rsid w:val="005E18E6"/>
    <w:rsid w:val="005E1C97"/>
    <w:rsid w:val="005E385D"/>
    <w:rsid w:val="005E4FBA"/>
    <w:rsid w:val="005E5C00"/>
    <w:rsid w:val="005E6013"/>
    <w:rsid w:val="005E707C"/>
    <w:rsid w:val="005E7526"/>
    <w:rsid w:val="005F0CB8"/>
    <w:rsid w:val="005F1959"/>
    <w:rsid w:val="005F1E8E"/>
    <w:rsid w:val="005F2599"/>
    <w:rsid w:val="005F4D4D"/>
    <w:rsid w:val="006014B6"/>
    <w:rsid w:val="006017C3"/>
    <w:rsid w:val="0060246C"/>
    <w:rsid w:val="00604B33"/>
    <w:rsid w:val="00604BD5"/>
    <w:rsid w:val="00605C76"/>
    <w:rsid w:val="0061089F"/>
    <w:rsid w:val="006129F0"/>
    <w:rsid w:val="006161CC"/>
    <w:rsid w:val="00617229"/>
    <w:rsid w:val="00620658"/>
    <w:rsid w:val="00624A86"/>
    <w:rsid w:val="00631DDF"/>
    <w:rsid w:val="00632347"/>
    <w:rsid w:val="00637146"/>
    <w:rsid w:val="00645B14"/>
    <w:rsid w:val="00650CCA"/>
    <w:rsid w:val="006518C7"/>
    <w:rsid w:val="0065242C"/>
    <w:rsid w:val="00654632"/>
    <w:rsid w:val="006567A1"/>
    <w:rsid w:val="00660F30"/>
    <w:rsid w:val="006617F0"/>
    <w:rsid w:val="00666B31"/>
    <w:rsid w:val="00666E2A"/>
    <w:rsid w:val="00671F86"/>
    <w:rsid w:val="00673B22"/>
    <w:rsid w:val="00673DE1"/>
    <w:rsid w:val="00674E5A"/>
    <w:rsid w:val="006815DA"/>
    <w:rsid w:val="00683BE0"/>
    <w:rsid w:val="00685D40"/>
    <w:rsid w:val="006906D7"/>
    <w:rsid w:val="00692F7E"/>
    <w:rsid w:val="006933DF"/>
    <w:rsid w:val="00693C95"/>
    <w:rsid w:val="00696D62"/>
    <w:rsid w:val="006A04A3"/>
    <w:rsid w:val="006A12DE"/>
    <w:rsid w:val="006A21E8"/>
    <w:rsid w:val="006A470C"/>
    <w:rsid w:val="006B7F2F"/>
    <w:rsid w:val="006C043C"/>
    <w:rsid w:val="006C4EF4"/>
    <w:rsid w:val="006D3493"/>
    <w:rsid w:val="006D3F8F"/>
    <w:rsid w:val="006E1828"/>
    <w:rsid w:val="006E23B6"/>
    <w:rsid w:val="006E34F8"/>
    <w:rsid w:val="006F0822"/>
    <w:rsid w:val="006F1643"/>
    <w:rsid w:val="006F7539"/>
    <w:rsid w:val="006F7BF0"/>
    <w:rsid w:val="00700A8E"/>
    <w:rsid w:val="007010C0"/>
    <w:rsid w:val="00702080"/>
    <w:rsid w:val="0070540B"/>
    <w:rsid w:val="00706A01"/>
    <w:rsid w:val="0071134F"/>
    <w:rsid w:val="0071424F"/>
    <w:rsid w:val="00715B61"/>
    <w:rsid w:val="00717607"/>
    <w:rsid w:val="00721D4E"/>
    <w:rsid w:val="007220D1"/>
    <w:rsid w:val="00724125"/>
    <w:rsid w:val="007243BC"/>
    <w:rsid w:val="007346C1"/>
    <w:rsid w:val="00736037"/>
    <w:rsid w:val="00740F5C"/>
    <w:rsid w:val="00742319"/>
    <w:rsid w:val="00744DC2"/>
    <w:rsid w:val="00747700"/>
    <w:rsid w:val="00747708"/>
    <w:rsid w:val="0075258C"/>
    <w:rsid w:val="007531D9"/>
    <w:rsid w:val="00754E70"/>
    <w:rsid w:val="00760426"/>
    <w:rsid w:val="007614FA"/>
    <w:rsid w:val="00761939"/>
    <w:rsid w:val="00761BB5"/>
    <w:rsid w:val="00761C8A"/>
    <w:rsid w:val="00761F9D"/>
    <w:rsid w:val="0076747E"/>
    <w:rsid w:val="00770913"/>
    <w:rsid w:val="00771473"/>
    <w:rsid w:val="00780CA7"/>
    <w:rsid w:val="00782322"/>
    <w:rsid w:val="00787021"/>
    <w:rsid w:val="00790E1C"/>
    <w:rsid w:val="00795793"/>
    <w:rsid w:val="007A0294"/>
    <w:rsid w:val="007A2618"/>
    <w:rsid w:val="007A355E"/>
    <w:rsid w:val="007B3758"/>
    <w:rsid w:val="007B5ED4"/>
    <w:rsid w:val="007B7726"/>
    <w:rsid w:val="007C0728"/>
    <w:rsid w:val="007C26EE"/>
    <w:rsid w:val="007C3ABF"/>
    <w:rsid w:val="007C4399"/>
    <w:rsid w:val="007C54B2"/>
    <w:rsid w:val="007C72CF"/>
    <w:rsid w:val="007D6B45"/>
    <w:rsid w:val="007E2697"/>
    <w:rsid w:val="007E2DBE"/>
    <w:rsid w:val="007E580F"/>
    <w:rsid w:val="007E77E3"/>
    <w:rsid w:val="007F0EB8"/>
    <w:rsid w:val="007F486F"/>
    <w:rsid w:val="007F58C8"/>
    <w:rsid w:val="007F6280"/>
    <w:rsid w:val="007F74B1"/>
    <w:rsid w:val="00802142"/>
    <w:rsid w:val="00805DC5"/>
    <w:rsid w:val="008060B1"/>
    <w:rsid w:val="008102B3"/>
    <w:rsid w:val="00810FE6"/>
    <w:rsid w:val="00813407"/>
    <w:rsid w:val="00814EB4"/>
    <w:rsid w:val="00816EEF"/>
    <w:rsid w:val="008215BA"/>
    <w:rsid w:val="00821946"/>
    <w:rsid w:val="008231A5"/>
    <w:rsid w:val="008236FC"/>
    <w:rsid w:val="00825877"/>
    <w:rsid w:val="00834692"/>
    <w:rsid w:val="00836EDD"/>
    <w:rsid w:val="00837460"/>
    <w:rsid w:val="0084090F"/>
    <w:rsid w:val="008465BE"/>
    <w:rsid w:val="00851A8F"/>
    <w:rsid w:val="00851B35"/>
    <w:rsid w:val="00853E9E"/>
    <w:rsid w:val="0086331F"/>
    <w:rsid w:val="008636E4"/>
    <w:rsid w:val="008720F7"/>
    <w:rsid w:val="008738AE"/>
    <w:rsid w:val="00876951"/>
    <w:rsid w:val="00877B69"/>
    <w:rsid w:val="00880876"/>
    <w:rsid w:val="00880F39"/>
    <w:rsid w:val="00882460"/>
    <w:rsid w:val="00885050"/>
    <w:rsid w:val="008856A9"/>
    <w:rsid w:val="00887ED6"/>
    <w:rsid w:val="00892C35"/>
    <w:rsid w:val="00894147"/>
    <w:rsid w:val="00894D43"/>
    <w:rsid w:val="008A2F4F"/>
    <w:rsid w:val="008A4F74"/>
    <w:rsid w:val="008A5133"/>
    <w:rsid w:val="008A5F6F"/>
    <w:rsid w:val="008B1E3A"/>
    <w:rsid w:val="008B41B4"/>
    <w:rsid w:val="008B425D"/>
    <w:rsid w:val="008B55A2"/>
    <w:rsid w:val="008B65B2"/>
    <w:rsid w:val="008B6806"/>
    <w:rsid w:val="008C10FA"/>
    <w:rsid w:val="008D0FE9"/>
    <w:rsid w:val="008D146D"/>
    <w:rsid w:val="008D157A"/>
    <w:rsid w:val="008D441F"/>
    <w:rsid w:val="008E46DC"/>
    <w:rsid w:val="008E6556"/>
    <w:rsid w:val="008F0A19"/>
    <w:rsid w:val="00903C62"/>
    <w:rsid w:val="00904337"/>
    <w:rsid w:val="00905123"/>
    <w:rsid w:val="009056C7"/>
    <w:rsid w:val="00907DF4"/>
    <w:rsid w:val="00910063"/>
    <w:rsid w:val="00911796"/>
    <w:rsid w:val="009128A1"/>
    <w:rsid w:val="00914829"/>
    <w:rsid w:val="00916C03"/>
    <w:rsid w:val="00917AA4"/>
    <w:rsid w:val="00920D44"/>
    <w:rsid w:val="00920E43"/>
    <w:rsid w:val="00922A57"/>
    <w:rsid w:val="009239AF"/>
    <w:rsid w:val="00924BDD"/>
    <w:rsid w:val="009271A8"/>
    <w:rsid w:val="00927D7B"/>
    <w:rsid w:val="00930733"/>
    <w:rsid w:val="0093298B"/>
    <w:rsid w:val="00932ACE"/>
    <w:rsid w:val="00936FCB"/>
    <w:rsid w:val="0094089A"/>
    <w:rsid w:val="009419E0"/>
    <w:rsid w:val="00943E63"/>
    <w:rsid w:val="009443CB"/>
    <w:rsid w:val="009524F1"/>
    <w:rsid w:val="00953643"/>
    <w:rsid w:val="00953675"/>
    <w:rsid w:val="00953A0A"/>
    <w:rsid w:val="009546BF"/>
    <w:rsid w:val="0095577C"/>
    <w:rsid w:val="009566E1"/>
    <w:rsid w:val="0095705A"/>
    <w:rsid w:val="009626CF"/>
    <w:rsid w:val="0096303C"/>
    <w:rsid w:val="009654AF"/>
    <w:rsid w:val="00970BF2"/>
    <w:rsid w:val="00970C27"/>
    <w:rsid w:val="00972799"/>
    <w:rsid w:val="00973494"/>
    <w:rsid w:val="00973F19"/>
    <w:rsid w:val="009773A2"/>
    <w:rsid w:val="009805A2"/>
    <w:rsid w:val="0098091A"/>
    <w:rsid w:val="00983C38"/>
    <w:rsid w:val="009841BD"/>
    <w:rsid w:val="00986CB3"/>
    <w:rsid w:val="00986EC3"/>
    <w:rsid w:val="00993980"/>
    <w:rsid w:val="00996710"/>
    <w:rsid w:val="009A0E14"/>
    <w:rsid w:val="009A2D8A"/>
    <w:rsid w:val="009A30C3"/>
    <w:rsid w:val="009A4A32"/>
    <w:rsid w:val="009A51BC"/>
    <w:rsid w:val="009A7F56"/>
    <w:rsid w:val="009B0C3A"/>
    <w:rsid w:val="009B11F0"/>
    <w:rsid w:val="009B49DE"/>
    <w:rsid w:val="009C0F81"/>
    <w:rsid w:val="009C447E"/>
    <w:rsid w:val="009C58DF"/>
    <w:rsid w:val="009C5BA0"/>
    <w:rsid w:val="009C771B"/>
    <w:rsid w:val="009C7B02"/>
    <w:rsid w:val="009D12C2"/>
    <w:rsid w:val="009D2E67"/>
    <w:rsid w:val="009D6EBF"/>
    <w:rsid w:val="009D79A0"/>
    <w:rsid w:val="009E0B0B"/>
    <w:rsid w:val="009E1C04"/>
    <w:rsid w:val="009F22E8"/>
    <w:rsid w:val="009F27E2"/>
    <w:rsid w:val="009F3118"/>
    <w:rsid w:val="009F47C8"/>
    <w:rsid w:val="009F73BF"/>
    <w:rsid w:val="009F7E6A"/>
    <w:rsid w:val="00A00D1D"/>
    <w:rsid w:val="00A00FE9"/>
    <w:rsid w:val="00A01E06"/>
    <w:rsid w:val="00A0213F"/>
    <w:rsid w:val="00A04010"/>
    <w:rsid w:val="00A040A2"/>
    <w:rsid w:val="00A04473"/>
    <w:rsid w:val="00A04B4D"/>
    <w:rsid w:val="00A10134"/>
    <w:rsid w:val="00A105E3"/>
    <w:rsid w:val="00A12257"/>
    <w:rsid w:val="00A124E2"/>
    <w:rsid w:val="00A125F8"/>
    <w:rsid w:val="00A126A9"/>
    <w:rsid w:val="00A12AF7"/>
    <w:rsid w:val="00A155BD"/>
    <w:rsid w:val="00A1630B"/>
    <w:rsid w:val="00A21832"/>
    <w:rsid w:val="00A21C78"/>
    <w:rsid w:val="00A21FD1"/>
    <w:rsid w:val="00A22FB5"/>
    <w:rsid w:val="00A24074"/>
    <w:rsid w:val="00A24D3D"/>
    <w:rsid w:val="00A260C0"/>
    <w:rsid w:val="00A27011"/>
    <w:rsid w:val="00A30CC7"/>
    <w:rsid w:val="00A30D6A"/>
    <w:rsid w:val="00A3562F"/>
    <w:rsid w:val="00A36A32"/>
    <w:rsid w:val="00A375C7"/>
    <w:rsid w:val="00A37996"/>
    <w:rsid w:val="00A41160"/>
    <w:rsid w:val="00A441EB"/>
    <w:rsid w:val="00A463C7"/>
    <w:rsid w:val="00A52AFA"/>
    <w:rsid w:val="00A60165"/>
    <w:rsid w:val="00A618CF"/>
    <w:rsid w:val="00A61E1F"/>
    <w:rsid w:val="00A642B8"/>
    <w:rsid w:val="00A6584B"/>
    <w:rsid w:val="00A6790B"/>
    <w:rsid w:val="00A76A7F"/>
    <w:rsid w:val="00A803DF"/>
    <w:rsid w:val="00A8049A"/>
    <w:rsid w:val="00A80F69"/>
    <w:rsid w:val="00A822D5"/>
    <w:rsid w:val="00A83401"/>
    <w:rsid w:val="00A84208"/>
    <w:rsid w:val="00A84447"/>
    <w:rsid w:val="00A86227"/>
    <w:rsid w:val="00A92A74"/>
    <w:rsid w:val="00A934CE"/>
    <w:rsid w:val="00A94B7D"/>
    <w:rsid w:val="00A96AC6"/>
    <w:rsid w:val="00AA143E"/>
    <w:rsid w:val="00AA312E"/>
    <w:rsid w:val="00AA3791"/>
    <w:rsid w:val="00AA4A67"/>
    <w:rsid w:val="00AA6BE4"/>
    <w:rsid w:val="00AB0B24"/>
    <w:rsid w:val="00AB740A"/>
    <w:rsid w:val="00AC186B"/>
    <w:rsid w:val="00AC1B99"/>
    <w:rsid w:val="00AC6D93"/>
    <w:rsid w:val="00AD1D29"/>
    <w:rsid w:val="00AD2BAA"/>
    <w:rsid w:val="00AD3272"/>
    <w:rsid w:val="00AD3A67"/>
    <w:rsid w:val="00AD4DAA"/>
    <w:rsid w:val="00AD5503"/>
    <w:rsid w:val="00AE31AB"/>
    <w:rsid w:val="00AE43DF"/>
    <w:rsid w:val="00AE5E8D"/>
    <w:rsid w:val="00AE7230"/>
    <w:rsid w:val="00AF27FF"/>
    <w:rsid w:val="00AF4461"/>
    <w:rsid w:val="00B006FE"/>
    <w:rsid w:val="00B00BEF"/>
    <w:rsid w:val="00B0263A"/>
    <w:rsid w:val="00B05624"/>
    <w:rsid w:val="00B07349"/>
    <w:rsid w:val="00B10F13"/>
    <w:rsid w:val="00B150D7"/>
    <w:rsid w:val="00B164BD"/>
    <w:rsid w:val="00B21ADD"/>
    <w:rsid w:val="00B23747"/>
    <w:rsid w:val="00B25D59"/>
    <w:rsid w:val="00B300E5"/>
    <w:rsid w:val="00B32F91"/>
    <w:rsid w:val="00B3366C"/>
    <w:rsid w:val="00B340FB"/>
    <w:rsid w:val="00B3543B"/>
    <w:rsid w:val="00B36BD3"/>
    <w:rsid w:val="00B41003"/>
    <w:rsid w:val="00B42C96"/>
    <w:rsid w:val="00B42F2D"/>
    <w:rsid w:val="00B47ED8"/>
    <w:rsid w:val="00B5023B"/>
    <w:rsid w:val="00B512F6"/>
    <w:rsid w:val="00B5163E"/>
    <w:rsid w:val="00B60097"/>
    <w:rsid w:val="00B63CF7"/>
    <w:rsid w:val="00B64635"/>
    <w:rsid w:val="00B64FF8"/>
    <w:rsid w:val="00B72866"/>
    <w:rsid w:val="00B73A4F"/>
    <w:rsid w:val="00B77CD3"/>
    <w:rsid w:val="00B802CA"/>
    <w:rsid w:val="00B82442"/>
    <w:rsid w:val="00B85AC8"/>
    <w:rsid w:val="00B860D8"/>
    <w:rsid w:val="00B93514"/>
    <w:rsid w:val="00B95F5C"/>
    <w:rsid w:val="00BA0731"/>
    <w:rsid w:val="00BA5A83"/>
    <w:rsid w:val="00BA7480"/>
    <w:rsid w:val="00BB17B8"/>
    <w:rsid w:val="00BB1DD2"/>
    <w:rsid w:val="00BC0169"/>
    <w:rsid w:val="00BC2F57"/>
    <w:rsid w:val="00BC49F1"/>
    <w:rsid w:val="00BC4E2C"/>
    <w:rsid w:val="00BC5D46"/>
    <w:rsid w:val="00BC77D3"/>
    <w:rsid w:val="00BD0C03"/>
    <w:rsid w:val="00BD510E"/>
    <w:rsid w:val="00BD6829"/>
    <w:rsid w:val="00BE271E"/>
    <w:rsid w:val="00BE2B7F"/>
    <w:rsid w:val="00BE7180"/>
    <w:rsid w:val="00BE752B"/>
    <w:rsid w:val="00BF138F"/>
    <w:rsid w:val="00BF16FA"/>
    <w:rsid w:val="00BF763E"/>
    <w:rsid w:val="00BF78CF"/>
    <w:rsid w:val="00C00A6F"/>
    <w:rsid w:val="00C05391"/>
    <w:rsid w:val="00C1097C"/>
    <w:rsid w:val="00C11AAF"/>
    <w:rsid w:val="00C14FEC"/>
    <w:rsid w:val="00C15409"/>
    <w:rsid w:val="00C1620C"/>
    <w:rsid w:val="00C16F8D"/>
    <w:rsid w:val="00C20ED2"/>
    <w:rsid w:val="00C235E5"/>
    <w:rsid w:val="00C23F51"/>
    <w:rsid w:val="00C24637"/>
    <w:rsid w:val="00C26273"/>
    <w:rsid w:val="00C265AC"/>
    <w:rsid w:val="00C278A1"/>
    <w:rsid w:val="00C33865"/>
    <w:rsid w:val="00C3591D"/>
    <w:rsid w:val="00C366F2"/>
    <w:rsid w:val="00C43D65"/>
    <w:rsid w:val="00C500EE"/>
    <w:rsid w:val="00C51708"/>
    <w:rsid w:val="00C5248C"/>
    <w:rsid w:val="00C53A6E"/>
    <w:rsid w:val="00C5732C"/>
    <w:rsid w:val="00C61D5F"/>
    <w:rsid w:val="00C7112F"/>
    <w:rsid w:val="00C71FD7"/>
    <w:rsid w:val="00C72995"/>
    <w:rsid w:val="00C7597D"/>
    <w:rsid w:val="00C77995"/>
    <w:rsid w:val="00C8434B"/>
    <w:rsid w:val="00C84EB6"/>
    <w:rsid w:val="00C94203"/>
    <w:rsid w:val="00C94273"/>
    <w:rsid w:val="00C9558E"/>
    <w:rsid w:val="00CA1CC7"/>
    <w:rsid w:val="00CA2884"/>
    <w:rsid w:val="00CA3729"/>
    <w:rsid w:val="00CA5B34"/>
    <w:rsid w:val="00CB0DEB"/>
    <w:rsid w:val="00CB0F3C"/>
    <w:rsid w:val="00CB189F"/>
    <w:rsid w:val="00CB4119"/>
    <w:rsid w:val="00CB748F"/>
    <w:rsid w:val="00CC1B7A"/>
    <w:rsid w:val="00CC3E1C"/>
    <w:rsid w:val="00CC4B15"/>
    <w:rsid w:val="00CC78BD"/>
    <w:rsid w:val="00CD02FE"/>
    <w:rsid w:val="00CD7067"/>
    <w:rsid w:val="00CD7087"/>
    <w:rsid w:val="00CD77F5"/>
    <w:rsid w:val="00CE2A6D"/>
    <w:rsid w:val="00CE7CB9"/>
    <w:rsid w:val="00CF227B"/>
    <w:rsid w:val="00CF2319"/>
    <w:rsid w:val="00CF48ED"/>
    <w:rsid w:val="00CF4ED1"/>
    <w:rsid w:val="00CF5A04"/>
    <w:rsid w:val="00D0442D"/>
    <w:rsid w:val="00D07E41"/>
    <w:rsid w:val="00D10C10"/>
    <w:rsid w:val="00D110F1"/>
    <w:rsid w:val="00D1122D"/>
    <w:rsid w:val="00D122B1"/>
    <w:rsid w:val="00D158DB"/>
    <w:rsid w:val="00D17D00"/>
    <w:rsid w:val="00D2098E"/>
    <w:rsid w:val="00D20F8E"/>
    <w:rsid w:val="00D22045"/>
    <w:rsid w:val="00D24B34"/>
    <w:rsid w:val="00D25D08"/>
    <w:rsid w:val="00D31FE4"/>
    <w:rsid w:val="00D35F35"/>
    <w:rsid w:val="00D42380"/>
    <w:rsid w:val="00D42F5F"/>
    <w:rsid w:val="00D45415"/>
    <w:rsid w:val="00D47DE8"/>
    <w:rsid w:val="00D47F4E"/>
    <w:rsid w:val="00D50697"/>
    <w:rsid w:val="00D53410"/>
    <w:rsid w:val="00D53B8A"/>
    <w:rsid w:val="00D55956"/>
    <w:rsid w:val="00D5796A"/>
    <w:rsid w:val="00D66D2A"/>
    <w:rsid w:val="00D67D27"/>
    <w:rsid w:val="00D7469C"/>
    <w:rsid w:val="00D81BBA"/>
    <w:rsid w:val="00D8277B"/>
    <w:rsid w:val="00D872F4"/>
    <w:rsid w:val="00D87309"/>
    <w:rsid w:val="00D96263"/>
    <w:rsid w:val="00DA59FE"/>
    <w:rsid w:val="00DA6694"/>
    <w:rsid w:val="00DB018A"/>
    <w:rsid w:val="00DB09E9"/>
    <w:rsid w:val="00DB70EE"/>
    <w:rsid w:val="00DC1021"/>
    <w:rsid w:val="00DC1353"/>
    <w:rsid w:val="00DC2A98"/>
    <w:rsid w:val="00DC7680"/>
    <w:rsid w:val="00DD0576"/>
    <w:rsid w:val="00DD0940"/>
    <w:rsid w:val="00DD0D3D"/>
    <w:rsid w:val="00DD14FD"/>
    <w:rsid w:val="00DD46BD"/>
    <w:rsid w:val="00DD4DAD"/>
    <w:rsid w:val="00DD4E95"/>
    <w:rsid w:val="00DD626A"/>
    <w:rsid w:val="00DD67A3"/>
    <w:rsid w:val="00DD72D7"/>
    <w:rsid w:val="00DD7321"/>
    <w:rsid w:val="00DE05D4"/>
    <w:rsid w:val="00DE3DBA"/>
    <w:rsid w:val="00DF3112"/>
    <w:rsid w:val="00DF3DD2"/>
    <w:rsid w:val="00E007FD"/>
    <w:rsid w:val="00E00F82"/>
    <w:rsid w:val="00E07369"/>
    <w:rsid w:val="00E11C2F"/>
    <w:rsid w:val="00E11FB9"/>
    <w:rsid w:val="00E1393B"/>
    <w:rsid w:val="00E16842"/>
    <w:rsid w:val="00E174E0"/>
    <w:rsid w:val="00E202ED"/>
    <w:rsid w:val="00E22798"/>
    <w:rsid w:val="00E2332F"/>
    <w:rsid w:val="00E27A9E"/>
    <w:rsid w:val="00E30BB6"/>
    <w:rsid w:val="00E35B5B"/>
    <w:rsid w:val="00E40A86"/>
    <w:rsid w:val="00E40FA1"/>
    <w:rsid w:val="00E40FBA"/>
    <w:rsid w:val="00E43302"/>
    <w:rsid w:val="00E447F2"/>
    <w:rsid w:val="00E452BD"/>
    <w:rsid w:val="00E459D8"/>
    <w:rsid w:val="00E510B2"/>
    <w:rsid w:val="00E51AEA"/>
    <w:rsid w:val="00E520F2"/>
    <w:rsid w:val="00E549A2"/>
    <w:rsid w:val="00E5570B"/>
    <w:rsid w:val="00E56B8C"/>
    <w:rsid w:val="00E56DBA"/>
    <w:rsid w:val="00E61A0D"/>
    <w:rsid w:val="00E62674"/>
    <w:rsid w:val="00E63CB8"/>
    <w:rsid w:val="00E71F8F"/>
    <w:rsid w:val="00E721C9"/>
    <w:rsid w:val="00E840C5"/>
    <w:rsid w:val="00E85AAC"/>
    <w:rsid w:val="00E949AF"/>
    <w:rsid w:val="00EA05CD"/>
    <w:rsid w:val="00EA0A14"/>
    <w:rsid w:val="00EA1E6B"/>
    <w:rsid w:val="00EA3C2A"/>
    <w:rsid w:val="00EA66D0"/>
    <w:rsid w:val="00EB24C1"/>
    <w:rsid w:val="00EB2BBD"/>
    <w:rsid w:val="00EC2C0F"/>
    <w:rsid w:val="00ED108A"/>
    <w:rsid w:val="00EE15BC"/>
    <w:rsid w:val="00EE54EC"/>
    <w:rsid w:val="00EE7185"/>
    <w:rsid w:val="00EE7E26"/>
    <w:rsid w:val="00EF0D32"/>
    <w:rsid w:val="00EF212E"/>
    <w:rsid w:val="00EF28F1"/>
    <w:rsid w:val="00EF2A17"/>
    <w:rsid w:val="00EF6EF8"/>
    <w:rsid w:val="00F03039"/>
    <w:rsid w:val="00F041E7"/>
    <w:rsid w:val="00F06C1F"/>
    <w:rsid w:val="00F078E5"/>
    <w:rsid w:val="00F12BDE"/>
    <w:rsid w:val="00F12FDF"/>
    <w:rsid w:val="00F14CD8"/>
    <w:rsid w:val="00F150E1"/>
    <w:rsid w:val="00F16441"/>
    <w:rsid w:val="00F17F2F"/>
    <w:rsid w:val="00F2098A"/>
    <w:rsid w:val="00F2538D"/>
    <w:rsid w:val="00F26B3E"/>
    <w:rsid w:val="00F27300"/>
    <w:rsid w:val="00F27E99"/>
    <w:rsid w:val="00F30469"/>
    <w:rsid w:val="00F30844"/>
    <w:rsid w:val="00F30D35"/>
    <w:rsid w:val="00F34398"/>
    <w:rsid w:val="00F453C3"/>
    <w:rsid w:val="00F4542F"/>
    <w:rsid w:val="00F45993"/>
    <w:rsid w:val="00F50437"/>
    <w:rsid w:val="00F51CFF"/>
    <w:rsid w:val="00F52691"/>
    <w:rsid w:val="00F53B3D"/>
    <w:rsid w:val="00F53CDA"/>
    <w:rsid w:val="00F54061"/>
    <w:rsid w:val="00F55445"/>
    <w:rsid w:val="00F57BE1"/>
    <w:rsid w:val="00F61DD1"/>
    <w:rsid w:val="00F627AF"/>
    <w:rsid w:val="00F701BA"/>
    <w:rsid w:val="00F70307"/>
    <w:rsid w:val="00F73181"/>
    <w:rsid w:val="00F736FB"/>
    <w:rsid w:val="00F7452D"/>
    <w:rsid w:val="00F74EB0"/>
    <w:rsid w:val="00F76A4E"/>
    <w:rsid w:val="00F83AD6"/>
    <w:rsid w:val="00F85E0E"/>
    <w:rsid w:val="00F873E9"/>
    <w:rsid w:val="00F90505"/>
    <w:rsid w:val="00F905C6"/>
    <w:rsid w:val="00F921B0"/>
    <w:rsid w:val="00F94A92"/>
    <w:rsid w:val="00F9574C"/>
    <w:rsid w:val="00F962C4"/>
    <w:rsid w:val="00F969D2"/>
    <w:rsid w:val="00FA42A5"/>
    <w:rsid w:val="00FA70DA"/>
    <w:rsid w:val="00FB027B"/>
    <w:rsid w:val="00FB046D"/>
    <w:rsid w:val="00FB2745"/>
    <w:rsid w:val="00FB2DB1"/>
    <w:rsid w:val="00FB4DF8"/>
    <w:rsid w:val="00FB7611"/>
    <w:rsid w:val="00FC133F"/>
    <w:rsid w:val="00FC2624"/>
    <w:rsid w:val="00FC3755"/>
    <w:rsid w:val="00FD2834"/>
    <w:rsid w:val="00FD2DA7"/>
    <w:rsid w:val="00FE1973"/>
    <w:rsid w:val="00FE45B5"/>
    <w:rsid w:val="00FE464E"/>
    <w:rsid w:val="00FE4D89"/>
    <w:rsid w:val="00FF0661"/>
    <w:rsid w:val="00FF10FA"/>
    <w:rsid w:val="00FF216D"/>
    <w:rsid w:val="00FF34FF"/>
    <w:rsid w:val="00FF5917"/>
    <w:rsid w:val="0156135D"/>
    <w:rsid w:val="0263597B"/>
    <w:rsid w:val="039C4077"/>
    <w:rsid w:val="0823E5B1"/>
    <w:rsid w:val="083E69FC"/>
    <w:rsid w:val="09759109"/>
    <w:rsid w:val="09D168DB"/>
    <w:rsid w:val="0AA0912C"/>
    <w:rsid w:val="0B80C4F6"/>
    <w:rsid w:val="0BF2CCC9"/>
    <w:rsid w:val="0F8AC6AA"/>
    <w:rsid w:val="1087E671"/>
    <w:rsid w:val="10CDE4D7"/>
    <w:rsid w:val="11E6813A"/>
    <w:rsid w:val="123FA5A4"/>
    <w:rsid w:val="146C61A1"/>
    <w:rsid w:val="1A03F416"/>
    <w:rsid w:val="1C52E40E"/>
    <w:rsid w:val="1D5B482E"/>
    <w:rsid w:val="23021DBC"/>
    <w:rsid w:val="241EA000"/>
    <w:rsid w:val="249F5670"/>
    <w:rsid w:val="290F589A"/>
    <w:rsid w:val="29A6F932"/>
    <w:rsid w:val="2A093FEE"/>
    <w:rsid w:val="2A33C82F"/>
    <w:rsid w:val="2C10E000"/>
    <w:rsid w:val="2E0F9AC6"/>
    <w:rsid w:val="2E2250D1"/>
    <w:rsid w:val="2F6A07AB"/>
    <w:rsid w:val="30E62282"/>
    <w:rsid w:val="3101EFE6"/>
    <w:rsid w:val="32B92836"/>
    <w:rsid w:val="34664E0C"/>
    <w:rsid w:val="3493A189"/>
    <w:rsid w:val="38141AA2"/>
    <w:rsid w:val="38D67886"/>
    <w:rsid w:val="39206317"/>
    <w:rsid w:val="3A452DF0"/>
    <w:rsid w:val="3A5E9833"/>
    <w:rsid w:val="3C683E18"/>
    <w:rsid w:val="3DC9E817"/>
    <w:rsid w:val="42033178"/>
    <w:rsid w:val="4267B602"/>
    <w:rsid w:val="45F788DD"/>
    <w:rsid w:val="4617E38E"/>
    <w:rsid w:val="46AC3780"/>
    <w:rsid w:val="46DFA8D4"/>
    <w:rsid w:val="4AE8EA81"/>
    <w:rsid w:val="4C6813D4"/>
    <w:rsid w:val="4CDDF81F"/>
    <w:rsid w:val="4E90DE35"/>
    <w:rsid w:val="50E497B3"/>
    <w:rsid w:val="5122531F"/>
    <w:rsid w:val="520098E7"/>
    <w:rsid w:val="52E7B80B"/>
    <w:rsid w:val="55581050"/>
    <w:rsid w:val="5724835A"/>
    <w:rsid w:val="578FC9DB"/>
    <w:rsid w:val="5942B430"/>
    <w:rsid w:val="59939408"/>
    <w:rsid w:val="5B1368BF"/>
    <w:rsid w:val="5D8D73D9"/>
    <w:rsid w:val="5E3E99E6"/>
    <w:rsid w:val="5EF77AF9"/>
    <w:rsid w:val="5F9FCB71"/>
    <w:rsid w:val="617BE506"/>
    <w:rsid w:val="62141EDD"/>
    <w:rsid w:val="63514095"/>
    <w:rsid w:val="63944883"/>
    <w:rsid w:val="63C205FD"/>
    <w:rsid w:val="647AE710"/>
    <w:rsid w:val="64E48268"/>
    <w:rsid w:val="6ABB2B90"/>
    <w:rsid w:val="6B7C3859"/>
    <w:rsid w:val="6BC874D6"/>
    <w:rsid w:val="6BFE49EF"/>
    <w:rsid w:val="6CE9A270"/>
    <w:rsid w:val="6E761F28"/>
    <w:rsid w:val="6F080C25"/>
    <w:rsid w:val="6F2FAE73"/>
    <w:rsid w:val="6F85A4F0"/>
    <w:rsid w:val="70FE3C6D"/>
    <w:rsid w:val="7153563C"/>
    <w:rsid w:val="728A1B36"/>
    <w:rsid w:val="73D234C2"/>
    <w:rsid w:val="74045E32"/>
    <w:rsid w:val="743A997A"/>
    <w:rsid w:val="74761DD9"/>
    <w:rsid w:val="77D88A93"/>
    <w:rsid w:val="78CE1188"/>
    <w:rsid w:val="7BB4B95E"/>
    <w:rsid w:val="7D0C61BC"/>
    <w:rsid w:val="7DF77BF1"/>
    <w:rsid w:val="7F4F75E1"/>
    <w:rsid w:val="7F8CADD1"/>
    <w:rsid w:val="7FF5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E4B59"/>
  <w15:chartTrackingRefBased/>
  <w15:docId w15:val="{BCFD9AD4-5116-42B8-B6EC-4808BB87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ko-KR"/>
    </w:rPr>
  </w:style>
  <w:style w:type="paragraph" w:styleId="Heading1">
    <w:name w:val="heading 1"/>
    <w:basedOn w:val="Normal"/>
    <w:next w:val="Normal"/>
    <w:link w:val="Heading1Char"/>
    <w:uiPriority w:val="9"/>
    <w:qFormat/>
    <w:rsid w:val="008A5F6F"/>
    <w:pPr>
      <w:keepNext/>
      <w:outlineLvl w:val="0"/>
    </w:pPr>
    <w:rPr>
      <w:rFonts w:eastAsia="Times New Roman"/>
      <w:b/>
      <w:sz w:val="18"/>
      <w:szCs w:val="20"/>
      <w:lang w:eastAsia="en-US"/>
    </w:rPr>
  </w:style>
  <w:style w:type="paragraph" w:styleId="Heading2">
    <w:name w:val="heading 2"/>
    <w:basedOn w:val="Normal"/>
    <w:next w:val="Normal"/>
    <w:link w:val="Heading2Char"/>
    <w:uiPriority w:val="9"/>
    <w:qFormat/>
    <w:rsid w:val="00EA0A1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8A5F6F"/>
    <w:pPr>
      <w:keepNext/>
      <w:jc w:val="center"/>
      <w:outlineLvl w:val="2"/>
    </w:pPr>
    <w:rPr>
      <w:rFonts w:eastAsia="Times New Roman"/>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5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A5F6F"/>
    <w:rPr>
      <w:color w:val="666666"/>
      <w:u w:val="single"/>
    </w:rPr>
  </w:style>
  <w:style w:type="paragraph" w:styleId="NormalWeb">
    <w:name w:val="Normal (Web)"/>
    <w:basedOn w:val="Normal"/>
    <w:rsid w:val="008A5F6F"/>
    <w:pPr>
      <w:spacing w:before="100" w:beforeAutospacing="1" w:after="100" w:afterAutospacing="1"/>
    </w:pPr>
    <w:rPr>
      <w:rFonts w:ascii="Verdana" w:hAnsi="Verdana"/>
    </w:rPr>
  </w:style>
  <w:style w:type="paragraph" w:styleId="BodyTextIndent">
    <w:name w:val="Body Text Indent"/>
    <w:basedOn w:val="Normal"/>
    <w:rsid w:val="008A5F6F"/>
    <w:pPr>
      <w:spacing w:before="100" w:beforeAutospacing="1" w:after="100" w:afterAutospacing="1"/>
    </w:pPr>
    <w:rPr>
      <w:rFonts w:ascii="Verdana" w:hAnsi="Verdana"/>
    </w:rPr>
  </w:style>
  <w:style w:type="character" w:styleId="FootnoteReference">
    <w:name w:val="footnote reference"/>
    <w:aliases w:val="DJEI_Footnote Reference"/>
    <w:uiPriority w:val="99"/>
    <w:rsid w:val="00EA0A14"/>
    <w:rPr>
      <w:vertAlign w:val="superscript"/>
    </w:rPr>
  </w:style>
  <w:style w:type="paragraph" w:styleId="FootnoteText">
    <w:name w:val="footnote text"/>
    <w:aliases w:val="Schriftart: 9 pt,Schriftart: 10 pt,Schriftart: 8 pt,DJEI_Footnote Text"/>
    <w:basedOn w:val="Normal"/>
    <w:link w:val="FootnoteTextChar"/>
    <w:uiPriority w:val="99"/>
    <w:rsid w:val="00EA0A14"/>
    <w:rPr>
      <w:rFonts w:eastAsia="Times New Roman"/>
      <w:sz w:val="20"/>
      <w:szCs w:val="20"/>
      <w:lang w:eastAsia="en-US"/>
    </w:rPr>
  </w:style>
  <w:style w:type="character" w:customStyle="1" w:styleId="FootnoteTextChar">
    <w:name w:val="Footnote Text Char"/>
    <w:aliases w:val="Schriftart: 9 pt Char,Schriftart: 10 pt Char,Schriftart: 8 pt Char,DJEI_Footnote Text Char"/>
    <w:link w:val="FootnoteText"/>
    <w:uiPriority w:val="99"/>
    <w:rsid w:val="00EA0A14"/>
    <w:rPr>
      <w:lang w:val="en-GB" w:eastAsia="en-US" w:bidi="ar-SA"/>
    </w:rPr>
  </w:style>
  <w:style w:type="paragraph" w:styleId="Footer">
    <w:name w:val="footer"/>
    <w:basedOn w:val="Normal"/>
    <w:rsid w:val="00063A8C"/>
    <w:pPr>
      <w:tabs>
        <w:tab w:val="center" w:pos="4153"/>
        <w:tab w:val="right" w:pos="8306"/>
      </w:tabs>
    </w:pPr>
  </w:style>
  <w:style w:type="character" w:styleId="PageNumber">
    <w:name w:val="page number"/>
    <w:basedOn w:val="DefaultParagraphFont"/>
    <w:rsid w:val="00063A8C"/>
  </w:style>
  <w:style w:type="character" w:styleId="FollowedHyperlink">
    <w:name w:val="FollowedHyperlink"/>
    <w:rsid w:val="002956BB"/>
    <w:rPr>
      <w:color w:val="800080"/>
      <w:u w:val="single"/>
    </w:rPr>
  </w:style>
  <w:style w:type="character" w:customStyle="1" w:styleId="normalchar1">
    <w:name w:val="normal__char1"/>
    <w:rsid w:val="00DA6694"/>
    <w:rPr>
      <w:rFonts w:ascii="Times New Roman" w:hAnsi="Times New Roman" w:cs="Times New Roman" w:hint="default"/>
      <w:strike w:val="0"/>
      <w:dstrike w:val="0"/>
      <w:sz w:val="24"/>
      <w:szCs w:val="24"/>
      <w:u w:val="none"/>
      <w:effect w:val="none"/>
    </w:rPr>
  </w:style>
  <w:style w:type="character" w:styleId="UnresolvedMention">
    <w:name w:val="Unresolved Mention"/>
    <w:uiPriority w:val="99"/>
    <w:semiHidden/>
    <w:unhideWhenUsed/>
    <w:rsid w:val="00576F07"/>
    <w:rPr>
      <w:color w:val="808080"/>
      <w:shd w:val="clear" w:color="auto" w:fill="E6E6E6"/>
    </w:rPr>
  </w:style>
  <w:style w:type="paragraph" w:styleId="ListParagraph">
    <w:name w:val="List Paragraph"/>
    <w:aliases w:val="Subtitle Cover Page,List Paragraph (numbered (a)),References,WB List Paragraph,Dot pt,F5 List Paragraph,List Paragraph1,No Spacing1,List Paragraph Char Char Char,Indicator Text,Numbered Para 1,List Paragraph12,Bullet Points,3,MAIN CONTENT"/>
    <w:basedOn w:val="Normal"/>
    <w:link w:val="ListParagraphChar"/>
    <w:uiPriority w:val="34"/>
    <w:qFormat/>
    <w:pPr>
      <w:ind w:left="720"/>
      <w:contextualSpacing/>
    </w:pPr>
  </w:style>
  <w:style w:type="paragraph" w:styleId="Header">
    <w:name w:val="header"/>
    <w:basedOn w:val="Normal"/>
    <w:link w:val="HeaderChar"/>
    <w:uiPriority w:val="99"/>
    <w:unhideWhenUsed/>
    <w:rsid w:val="00B32F91"/>
    <w:pPr>
      <w:tabs>
        <w:tab w:val="center" w:pos="4513"/>
        <w:tab w:val="right" w:pos="9026"/>
      </w:tabs>
      <w:spacing w:before="120" w:after="120"/>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32F91"/>
    <w:rPr>
      <w:rFonts w:asciiTheme="minorHAnsi" w:eastAsiaTheme="minorHAnsi" w:hAnsiTheme="minorHAnsi" w:cstheme="minorBidi"/>
      <w:sz w:val="24"/>
      <w:szCs w:val="24"/>
      <w:lang w:val="en-GB"/>
    </w:rPr>
  </w:style>
  <w:style w:type="character" w:customStyle="1" w:styleId="Heading1Char">
    <w:name w:val="Heading 1 Char"/>
    <w:basedOn w:val="DefaultParagraphFont"/>
    <w:link w:val="Heading1"/>
    <w:uiPriority w:val="9"/>
    <w:rsid w:val="00B32F91"/>
    <w:rPr>
      <w:rFonts w:eastAsia="Times New Roman"/>
      <w:b/>
      <w:sz w:val="18"/>
      <w:lang w:val="en-GB"/>
    </w:rPr>
  </w:style>
  <w:style w:type="character" w:customStyle="1" w:styleId="Heading2Char">
    <w:name w:val="Heading 2 Char"/>
    <w:basedOn w:val="DefaultParagraphFont"/>
    <w:link w:val="Heading2"/>
    <w:uiPriority w:val="9"/>
    <w:rsid w:val="00B32F91"/>
    <w:rPr>
      <w:rFonts w:ascii="Arial" w:hAnsi="Arial" w:cs="Arial"/>
      <w:b/>
      <w:bCs/>
      <w:i/>
      <w:iCs/>
      <w:sz w:val="28"/>
      <w:szCs w:val="28"/>
      <w:lang w:val="en-GB" w:eastAsia="ko-KR"/>
    </w:rPr>
  </w:style>
  <w:style w:type="character" w:customStyle="1" w:styleId="Heading3Char">
    <w:name w:val="Heading 3 Char"/>
    <w:basedOn w:val="DefaultParagraphFont"/>
    <w:link w:val="Heading3"/>
    <w:uiPriority w:val="9"/>
    <w:rsid w:val="00B32F91"/>
    <w:rPr>
      <w:rFonts w:eastAsia="Times New Roman"/>
      <w:b/>
      <w:lang w:val="en-GB"/>
    </w:rPr>
  </w:style>
  <w:style w:type="paragraph" w:styleId="NoSpacing">
    <w:name w:val="No Spacing"/>
    <w:uiPriority w:val="1"/>
    <w:qFormat/>
    <w:rsid w:val="00B32F91"/>
    <w:rPr>
      <w:rFonts w:asciiTheme="minorHAnsi" w:eastAsiaTheme="minorEastAsia" w:hAnsiTheme="minorHAnsi" w:cstheme="minorBidi"/>
      <w:sz w:val="21"/>
      <w:szCs w:val="21"/>
    </w:rPr>
  </w:style>
  <w:style w:type="character" w:customStyle="1" w:styleId="ListParagraphChar">
    <w:name w:val="List Paragraph Char"/>
    <w:aliases w:val="Subtitle Cover Page Char,List Paragraph (numbered (a)) Char,References Char,WB List Paragraph Char,Dot pt Char,F5 List Paragraph Char,List Paragraph1 Char,No Spacing1 Char,List Paragraph Char Char Char Char,Indicator Text Char,3 Char"/>
    <w:basedOn w:val="DefaultParagraphFont"/>
    <w:link w:val="ListParagraph"/>
    <w:uiPriority w:val="34"/>
    <w:qFormat/>
    <w:locked/>
    <w:rsid w:val="00B32F91"/>
    <w:rPr>
      <w:sz w:val="24"/>
      <w:szCs w:val="24"/>
      <w:lang w:val="en-GB" w:eastAsia="ko-KR"/>
    </w:rPr>
  </w:style>
  <w:style w:type="table" w:styleId="GridTable4-Accent5">
    <w:name w:val="Grid Table 4 Accent 5"/>
    <w:basedOn w:val="TableNormal"/>
    <w:uiPriority w:val="49"/>
    <w:rsid w:val="00B32F91"/>
    <w:rPr>
      <w:rFonts w:asciiTheme="minorHAnsi" w:eastAsiaTheme="minorEastAsia" w:hAnsiTheme="minorHAnsi" w:cstheme="minorBidi"/>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aragraph">
    <w:name w:val="paragraph"/>
    <w:basedOn w:val="Normal"/>
    <w:rsid w:val="00B32F91"/>
    <w:pPr>
      <w:spacing w:before="100" w:beforeAutospacing="1" w:after="100" w:afterAutospacing="1" w:line="264" w:lineRule="auto"/>
    </w:pPr>
    <w:rPr>
      <w:rFonts w:eastAsia="Times New Roman"/>
      <w:sz w:val="21"/>
      <w:szCs w:val="21"/>
      <w:lang w:val="en-IE" w:eastAsia="en-IE"/>
    </w:rPr>
  </w:style>
  <w:style w:type="character" w:customStyle="1" w:styleId="normaltextrun">
    <w:name w:val="normaltextrun"/>
    <w:basedOn w:val="DefaultParagraphFont"/>
    <w:rsid w:val="00B32F91"/>
  </w:style>
  <w:style w:type="character" w:customStyle="1" w:styleId="eop">
    <w:name w:val="eop"/>
    <w:basedOn w:val="DefaultParagraphFont"/>
    <w:rsid w:val="00B32F91"/>
  </w:style>
  <w:style w:type="table" w:customStyle="1" w:styleId="TableGrid2">
    <w:name w:val="Table Grid2"/>
    <w:basedOn w:val="TableNormal"/>
    <w:next w:val="TableGrid"/>
    <w:uiPriority w:val="39"/>
    <w:rsid w:val="00B32F91"/>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32F91"/>
  </w:style>
  <w:style w:type="character" w:customStyle="1" w:styleId="xnormaltextrun">
    <w:name w:val="x_normaltextrun"/>
    <w:basedOn w:val="DefaultParagraphFont"/>
    <w:rsid w:val="00B32F91"/>
  </w:style>
  <w:style w:type="character" w:styleId="CommentReference">
    <w:name w:val="annotation reference"/>
    <w:basedOn w:val="DefaultParagraphFont"/>
    <w:rsid w:val="007F486F"/>
    <w:rPr>
      <w:sz w:val="16"/>
      <w:szCs w:val="16"/>
    </w:rPr>
  </w:style>
  <w:style w:type="paragraph" w:styleId="CommentText">
    <w:name w:val="annotation text"/>
    <w:basedOn w:val="Normal"/>
    <w:link w:val="CommentTextChar"/>
    <w:rsid w:val="007F486F"/>
    <w:rPr>
      <w:sz w:val="20"/>
      <w:szCs w:val="20"/>
    </w:rPr>
  </w:style>
  <w:style w:type="character" w:customStyle="1" w:styleId="CommentTextChar">
    <w:name w:val="Comment Text Char"/>
    <w:basedOn w:val="DefaultParagraphFont"/>
    <w:link w:val="CommentText"/>
    <w:rsid w:val="007F486F"/>
    <w:rPr>
      <w:lang w:val="en-GB" w:eastAsia="ko-KR"/>
    </w:rPr>
  </w:style>
  <w:style w:type="paragraph" w:styleId="CommentSubject">
    <w:name w:val="annotation subject"/>
    <w:basedOn w:val="CommentText"/>
    <w:next w:val="CommentText"/>
    <w:link w:val="CommentSubjectChar"/>
    <w:rsid w:val="007F486F"/>
    <w:rPr>
      <w:b/>
      <w:bCs/>
    </w:rPr>
  </w:style>
  <w:style w:type="character" w:customStyle="1" w:styleId="CommentSubjectChar">
    <w:name w:val="Comment Subject Char"/>
    <w:basedOn w:val="CommentTextChar"/>
    <w:link w:val="CommentSubject"/>
    <w:rsid w:val="007F486F"/>
    <w:rPr>
      <w:b/>
      <w:bCs/>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01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entirl.sharepoint.com%2Fsites%2FTheGuide%2FTerms%2520of%2520Reference%2FForms%2FAllItems.aspx&amp;data=05%7C01%7CKathleen.ORegan%40enterprise-ireland.com%7Ce8664999153d427f320908dbd6dda658%7Cbdd3e620ccf34ac6a8070501d2cb25c4%7C0%7C0%7C638340019702917596%7CUnknown%7CTWFpbGZsb3d8eyJWIjoiMC4wLjAwMDAiLCJQIjoiV2luMzIiLCJBTiI6Ik1haWwiLCJXVCI6Mn0%3D%7C3000%7C%7C%7C&amp;sdata=yt2ONcmmkrL531tkaqqL0eWSkxaMc3aljs6X%2BY6fips%3D&amp;reserved=0"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rishstatutebook.ie/eli/2010/si/81/made/en/pr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8b71674-482e-44fe-b703-9432df8a76a3">
      <UserInfo>
        <DisplayName>Kent, Katie</DisplayName>
        <AccountId>472</AccountId>
        <AccountType/>
      </UserInfo>
      <UserInfo>
        <DisplayName>Early, Tom</DisplayName>
        <AccountId>298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CFB2615C93F94BB672899AF0A492DC" ma:contentTypeVersion="6" ma:contentTypeDescription="Create a new document." ma:contentTypeScope="" ma:versionID="bb28081f52d8eed09ff8c0b36633dbb5">
  <xsd:schema xmlns:xsd="http://www.w3.org/2001/XMLSchema" xmlns:xs="http://www.w3.org/2001/XMLSchema" xmlns:p="http://schemas.microsoft.com/office/2006/metadata/properties" xmlns:ns2="1c3967ff-7c75-434b-b573-0d2ffd45fe67" xmlns:ns3="e8b71674-482e-44fe-b703-9432df8a76a3" targetNamespace="http://schemas.microsoft.com/office/2006/metadata/properties" ma:root="true" ma:fieldsID="792ffc8968a200077975e3f84127f7f4" ns2:_="" ns3:_="">
    <xsd:import namespace="1c3967ff-7c75-434b-b573-0d2ffd45fe67"/>
    <xsd:import namespace="e8b71674-482e-44fe-b703-9432df8a76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967ff-7c75-434b-b573-0d2ffd45f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b71674-482e-44fe-b703-9432df8a7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C838A-15F2-4AB3-A9EE-9545A5DF74A8}">
  <ds:schemaRefs>
    <ds:schemaRef ds:uri="http://schemas.microsoft.com/sharepoint/v3/contenttype/forms"/>
  </ds:schemaRefs>
</ds:datastoreItem>
</file>

<file path=customXml/itemProps2.xml><?xml version="1.0" encoding="utf-8"?>
<ds:datastoreItem xmlns:ds="http://schemas.openxmlformats.org/officeDocument/2006/customXml" ds:itemID="{6497F4FD-43ED-43D4-AADE-C3734EAA58D3}">
  <ds:schemaRefs>
    <ds:schemaRef ds:uri="http://schemas.microsoft.com/office/2006/metadata/properties"/>
    <ds:schemaRef ds:uri="http://schemas.microsoft.com/office/infopath/2007/PartnerControls"/>
    <ds:schemaRef ds:uri="e8b71674-482e-44fe-b703-9432df8a76a3"/>
  </ds:schemaRefs>
</ds:datastoreItem>
</file>

<file path=customXml/itemProps3.xml><?xml version="1.0" encoding="utf-8"?>
<ds:datastoreItem xmlns:ds="http://schemas.openxmlformats.org/officeDocument/2006/customXml" ds:itemID="{56F245E1-2DDD-452D-88B1-961A1B52F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3967ff-7c75-434b-b573-0d2ffd45fe67"/>
    <ds:schemaRef ds:uri="e8b71674-482e-44fe-b703-9432df8a7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1CD60E-4F65-4AD4-A821-282BBE9A3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3516</Words>
  <Characters>20047</Characters>
  <Application>Microsoft Office Word</Application>
  <DocSecurity>0</DocSecurity>
  <Lines>167</Lines>
  <Paragraphs>47</Paragraphs>
  <ScaleCrop>false</ScaleCrop>
  <Company>Enterprise Ireland</Company>
  <LinksUpToDate>false</LinksUpToDate>
  <CharactersWithSpaces>23516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jmalone</dc:creator>
  <cp:keywords/>
  <dc:description/>
  <cp:lastModifiedBy>Maye, Louise</cp:lastModifiedBy>
  <cp:revision>9</cp:revision>
  <cp:lastPrinted>2012-03-22T12:49:00Z</cp:lastPrinted>
  <dcterms:created xsi:type="dcterms:W3CDTF">2024-08-14T09:54:00Z</dcterms:created>
  <dcterms:modified xsi:type="dcterms:W3CDTF">2025-11-18T10:26:00Z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0x01010019CFB2615C93F94BB672899AF0A492DC</vt:lpwstr>
  </property>
  <property fmtid="{D5CDD505-2E9C-101B-9397-08002B2CF9AE}" pid="3" name="AuthorIds_UIVersion_1536">
    <vt:lpwstr>11</vt:lpwstr>
  </property>
  <property fmtid="{D5CDD505-2E9C-101B-9397-08002B2CF9AE}" pid="4" name="t884">
    <vt:lpwstr>Secretary</vt:lpwstr>
  </property>
  <property fmtid="{D5CDD505-2E9C-101B-9397-08002B2CF9AE}" pid="5" name="AuthorIds_UIVersion_3072">
    <vt:lpwstr>17</vt:lpwstr>
  </property>
  <property fmtid="{D5CDD505-2E9C-101B-9397-08002B2CF9AE}" pid="6" name="Secretary">
    <vt:lpwstr>Secretary </vt:lpwstr>
  </property>
  <property fmtid="{D5CDD505-2E9C-101B-9397-08002B2CF9AE}" pid="7" name="Committee Secretary">
    <vt:lpwstr/>
  </property>
  <property fmtid="{D5CDD505-2E9C-101B-9397-08002B2CF9AE}" pid="8" name="AuthorIds_UIVersion_4608">
    <vt:lpwstr>302</vt:lpwstr>
  </property>
  <property fmtid="{D5CDD505-2E9C-101B-9397-08002B2CF9AE}" pid="10" name="_NewReviewCycle">
    <vt:lpwstr/>
  </property>
  <property fmtid="{D5CDD505-2E9C-101B-9397-08002B2CF9AE}" pid="15" name="docLang">
    <vt:lpwstr>en</vt:lpwstr>
  </property>
</Properties>
</file>