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Bainisteoir Tionscadail – Reatha 22/11/21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b/>
          <w:bCs/>
          <w:sz w:val="24"/>
          <w:szCs w:val="24"/>
          <w:lang w:val="en-IE"/>
        </w:rPr>
      </w:pPr>
      <w:r>
        <w:rPr>
          <w:rFonts w:eastAsia="" w:cs="Times New Roman" w:eastAsiaTheme="minorEastAsia" w:ascii="Times New Roman" w:hAnsi="Times New Roman"/>
          <w:b/>
          <w:bCs/>
          <w:sz w:val="24"/>
          <w:szCs w:val="24"/>
          <w:lang w:val="en-IE"/>
        </w:rPr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ascii="Arial" w:hAnsi="Arial" w:eastAsia="Times New Roman" w:cs="Arial"/>
          <w:b/>
          <w:b/>
          <w:bCs/>
          <w:i/>
          <w:i/>
          <w:iCs/>
          <w:color w:val="000000"/>
        </w:rPr>
      </w:pPr>
      <w:r>
        <w:rPr>
          <w:rFonts w:ascii="Arial" w:hAnsi="Arial"/>
          <w:b/>
          <w:i/>
          <w:color w:val="000000"/>
          <w:shd w:fill="FFFFFF" w:val="clear"/>
        </w:rPr>
        <w:t>Bí páirteach i gcuideachta nuálach agus forásach san Iarthar!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b/>
          <w:bCs/>
          <w:sz w:val="24"/>
          <w:szCs w:val="24"/>
          <w:lang w:val="en-IE"/>
        </w:rPr>
      </w:pPr>
      <w:r>
        <w:rPr>
          <w:rFonts w:eastAsia="" w:cs="Times New Roman" w:eastAsiaTheme="minorEastAsia" w:ascii="Times New Roman" w:hAnsi="Times New Roman"/>
          <w:b/>
          <w:bCs/>
          <w:sz w:val="24"/>
          <w:szCs w:val="24"/>
          <w:lang w:val="en-I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Cuideachta nuálach deartha, déantúsaíochta agus tástála is ea ÉireComposites atá ag plé le hábhair chomhchodacha éadroma, ardfheidhmíochta, snáithín-threisithe, agus bonn ardchaighdeáin custaiméirí idirnáisiúnta acu de bhreis agus 70 cuideachta sna hearnálacha aeraspáis, fuinnimh in-athnuaite agus uathghluaisneacha.  Tá saoráidí creidiúnaithe aeraspáis déantúsaíochta agus tástála bunaithe ag ÉireComposites (www.ÉireComposites.com) i nGaillimh, Éire, agus tá maoin intleachtúil shuntasach acu i ndéantúsaíocht agus in uirlisiú d’ábhair chomhchodacha. 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 w:ascii="Times New Roman" w:hAnsi="Times New Roman"/>
          <w:sz w:val="24"/>
          <w:szCs w:val="24"/>
          <w:lang w:val="en-IE" w:eastAsia="en-IE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Tá folúntas anois againn do Bhainisteoir Tionscadail le cúlra innealtóireachta agus na freagrachtaí seo a leanas i gceist: 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 w:ascii="Times New Roman" w:hAnsi="Times New Roman"/>
          <w:sz w:val="24"/>
          <w:szCs w:val="24"/>
          <w:lang w:val="en-IE" w:eastAsia="en-IE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Freagracht as eochairthionscadail straitéiseacha agus oibríochtúla a sheachadadh, beartú tosaíochta ar thionscadail san áireamh.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Riarachán ar cháipéisíocht straitéiseach eochairthionscadail agus tuairisciú don bhainistíocht faoi Chostas, Sceideal agus Feidhmíocht.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hd w:fill="FFFFFF" w:val="clear"/>
        </w:rPr>
        <w:t>Monatóireacht agus rialú cáilíochta móriomlán ar thionscadail a bheidh á mbainistiú ag innealtóir(í) agus ceannasaithe príomha tionscadail agus feidhmeanna gnó eile chun Costas, Sceideal, Feidhmíocht agus riosca a bhainistiú.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Oibriú go dlúth leis na foirne díolacháin, oibríochtaí agus cáilíochta chun tionscadail mhóra spreagúla a chur i bhfeidhm.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Oibriú le Díolacháin &amp; CCO chun a chinntiú  go bhfaighidh na cliaint tuiscint ar ionchais, táirgí insoláthartha, spleáchais agus rioscaí, go dtabharfar eolas soiléir faoin dul chun cinn, agus go dtiomáinfear an próiseas forbartha atá ag 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>ireComposites do tháirgí nua chun iad a sheachadadh de réir sceidil agus buiséid do na páirtithe go léir agus do na páirtithe leasmhara.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Measúnú a dhéanamh ar na táirgí insoláthartha eochairthionscadail go léir, ar scóip agus ar an táirge deiridh chun inrianaitheacht a chinntiú i dtaca le riachtanais, ardchaighdeán agus inghlacthacht na gcliant.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Acmhainní tionscadail a chinntiú agus nascadh leis an tacar sainscileanna is fearr chun cloí le riachtanais, achair ama agus buiséad an tionscadail.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 bheith ag lorg deiseanna go leanúnacha chun sástacht na gcustaiméirí a mhéadú agus chun caidrimh le custaiméirí a dhaingniú, ag obair go dlúth leis an mbainisteoir CCO, trí stór eolais a bhunú faoi ghnó, eagraíocht agus spriocanna gach cliant.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Cóitseáil agus forbairt ar inniúlacht bainistíochta tionscadail ar fud na heagraíochta.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Feidhmiú mar cheannasaí suímh ar chaighdeáin Bhainistíochta Tionscadail agus ar Rialachas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Bainistiú ar agus glacadh freagrachta as seachadadh tionscadal taighde do na cliaint lena n-airítear ESA, An Coimisiún Eorpach agus ceannairí nuálaíochta eile.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Bainistiú ar agus glacadh freagrachta as dearadh agus déantúsaíocht páirteanna comhchodacha ceannródaíocha do na tionscail aeraspáis, spáis, fuinnimh in-athnuaite agus uathghluaisneacha.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Coincheapa thionsclaíocha a fhorbairt do mhodhanna, táirgí agus d’ábhair dhéantúsaíochta mar aon le méadú a chur ar rátaí éifeachtúlachta agus táirgeachta.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Cóitseáil agus forbairt a dh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>anamh ar an bhfoireann innealtóirí atá ag dul i líonmhaire.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Spriocanna agus cuspóirí feidhmíochta foirne a bhunú.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Bainistiú ar fhorbairt agus ar fheidhmiú na gcóras bainistíochta a dhéanamh ar rialú próiseas agus cáilíochta taobh istigh den rannóg innealtóireachta.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 w:ascii="Times New Roman" w:hAnsi="Times New Roman"/>
          <w:sz w:val="24"/>
          <w:szCs w:val="24"/>
          <w:lang w:val="en-IE" w:eastAsia="en-IE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Tuairisceoidh an Bainisteoir Tionscadail go díreach don CEO. Mar gheall ar an mbunachar cliant d’ardchaighdeán atá ag 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ireComposites agus an dáimh a bheith ag obair le cuideachtaí nuálacha, beidh deis aige/aici a scileanna a fhorbairt trína bheith ag obair ar theicneolaíochtaí ceannródaíocha. 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 w:ascii="Times New Roman" w:hAnsi="Times New Roman"/>
          <w:sz w:val="24"/>
          <w:szCs w:val="24"/>
          <w:lang w:val="en-IE" w:eastAsia="en-IE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Beidh siad seo a leanas ag an iarrthóir a roghnófar: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Taithí deich mbliana ar a laghad a bheith ag treorú agus ag bainistiú tionscadail agus cláir choimpléascacha, ar mhéideanna agus ar chastacht theicniúil éagsúil.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Bheadh </w:t>
      </w:r>
      <w:r>
        <w:rPr>
          <w:rFonts w:ascii="Times New Roman" w:hAnsi="Times New Roman"/>
          <w:sz w:val="24"/>
          <w:shd w:fill="FFFFFF" w:val="clear"/>
        </w:rPr>
        <w:t>cáilíocht i mbainistíocht tionscadail, ar nós PMP, PRINCE II ina bhuntáiste (gan a bheith bunriachtanach) mar gur leor meascán dóthanach de thaithí ar thionscadail choimpléascacha agus d’oiliúint ghairmiúil ar an láthair oibre.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Céim san innealtóireacht, innealtóireacht mheicniúil nó cúlra dá leithéid a bheadh inmhianaithe. </w:t>
      </w:r>
    </w:p>
    <w:p>
      <w:pPr>
        <w:pStyle w:val="Normal"/>
        <w:numPr>
          <w:ilvl w:val="1"/>
          <w:numId w:val="2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Cé nach bhfuil sé bunriachtanach, bheadh taithí in ard-déantúsaíocht earraí comhchodach inmhianaithe.</w:t>
      </w:r>
    </w:p>
    <w:p>
      <w:pPr>
        <w:pStyle w:val="Normal"/>
        <w:numPr>
          <w:ilvl w:val="1"/>
          <w:numId w:val="2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Cé nach bhfuil sé bunriachtanach, bheadh sé ina bhuntáiste go mbeadh taithí ag an iarrthóir i dtacaíocht don aeraspás.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Scileanna láidre cumarsáide agus tionchair mar aon le cumas a bheith in ann lucht tionchair iolracha a bhainistiú.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Cumas láidir chun fadhbanna a réiteach go heolaíoch agus go daingean lena chinntiú go ndéanfar na réitigh teicniúla agus caighdeáin is fearr chun tacú le seachadadh táirgí agus tionscadail.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Dearcadh spriocthiomáinte agus mian láidir rathúlachta.</w:t>
      </w:r>
    </w:p>
    <w:p>
      <w:pPr>
        <w:pStyle w:val="Normal"/>
        <w:suppressAutoHyphens w:val="true"/>
        <w:spacing w:lineRule="auto" w:line="240" w:before="100" w:after="10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 w:ascii="Times New Roman" w:hAnsi="Times New Roman"/>
          <w:sz w:val="24"/>
          <w:szCs w:val="24"/>
          <w:lang w:val="en-IE" w:eastAsia="en-IE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Caithfidh an t-iarrthóir ionchasach a bheith in ann cur chuige gairmiúil a léiriú, a bheith féinspreagtha, go maith mar bhall foirne agus mar chumarsáidí, a bheith fonnmhar agus sásta a riar scileanna a nuashonrú i réimsí lárnacha gnó na cuideachta.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 w:ascii="Times New Roman" w:hAnsi="Times New Roman"/>
          <w:sz w:val="24"/>
          <w:szCs w:val="24"/>
          <w:lang w:val="en-IE" w:eastAsia="en-IE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Seol do litir mhínithe agus do CV chuig </w:t>
      </w:r>
      <w:hyperlink r:id="rId2">
        <w:r>
          <w:rPr>
            <w:rStyle w:val="InternetLink"/>
            <w:rFonts w:ascii="Times New Roman" w:hAnsi="Times New Roman"/>
            <w:sz w:val="24"/>
          </w:rPr>
          <w:t>hr@eirecomposites.com</w:t>
        </w:r>
      </w:hyperlink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 w:ascii="Times New Roman" w:hAnsi="Times New Roman"/>
          <w:sz w:val="24"/>
          <w:szCs w:val="24"/>
          <w:lang w:val="en-IE" w:eastAsia="en-IE"/>
        </w:rPr>
      </w:r>
    </w:p>
    <w:p>
      <w:pPr>
        <w:pStyle w:val="Normal"/>
        <w:shd w:val="clear" w:color="auto" w:fill="FFFFFF"/>
        <w:spacing w:lineRule="auto" w:line="240" w:before="0" w:after="240"/>
        <w:rPr>
          <w:rFonts w:ascii="Arial" w:hAnsi="Arial" w:eastAsia="Times New Roman" w:cs="Arial"/>
          <w:b/>
          <w:b/>
          <w:bCs/>
          <w:color w:val="000000"/>
        </w:rPr>
      </w:pPr>
      <w:r>
        <w:rPr>
          <w:rFonts w:ascii="Arial" w:hAnsi="Arial"/>
          <w:b/>
          <w:color w:val="000000"/>
        </w:rPr>
        <w:t>Buntáistí:</w:t>
      </w:r>
    </w:p>
    <w:p>
      <w:pPr>
        <w:pStyle w:val="Normal"/>
        <w:numPr>
          <w:ilvl w:val="0"/>
          <w:numId w:val="3"/>
        </w:numPr>
        <w:shd w:val="clear" w:color="auto" w:fill="FFFFFF" w:themeFill="background1"/>
        <w:spacing w:lineRule="auto" w:line="240" w:beforeAutospacing="1" w:after="0"/>
        <w:rPr>
          <w:rFonts w:ascii="Arial" w:hAnsi="Arial" w:eastAsia="Times New Roman" w:cs="Arial"/>
        </w:rPr>
      </w:pPr>
      <w:r>
        <w:rPr>
          <w:rFonts w:ascii="Open Sans" w:hAnsi="Open Sans"/>
          <w:sz w:val="20"/>
          <w:shd w:fill="ECECEC" w:val="clear"/>
        </w:rPr>
        <w:t>Rochtain éasca – 25 nóim ó Chnoc na Cathrach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</w:rPr>
      </w:pPr>
      <w:r>
        <w:rPr>
          <w:rFonts w:ascii="Arial" w:hAnsi="Arial"/>
        </w:rPr>
        <w:t>Páirceáil &amp; Ceaintín ar an láthair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</w:rPr>
      </w:pPr>
      <w:r>
        <w:rPr>
          <w:rFonts w:ascii="Arial" w:hAnsi="Arial"/>
        </w:rPr>
        <w:t>Cuirfear éadaí oibre ar fáil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</w:rPr>
      </w:pPr>
      <w:r>
        <w:rPr>
          <w:rFonts w:ascii="Arial" w:hAnsi="Arial"/>
        </w:rPr>
        <w:t xml:space="preserve">Imeachtaí/tionscnaimh Folláine agus Foirne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</w:rPr>
      </w:pPr>
      <w:r>
        <w:rPr>
          <w:rFonts w:ascii="Arial" w:hAnsi="Arial"/>
        </w:rPr>
        <w:t>Oiliúint</w:t>
      </w:r>
    </w:p>
    <w:p>
      <w:pPr>
        <w:pStyle w:val="Normal"/>
        <w:numPr>
          <w:ilvl w:val="0"/>
          <w:numId w:val="3"/>
        </w:numPr>
        <w:shd w:val="clear" w:color="auto" w:fill="F7F6F6"/>
        <w:spacing w:lineRule="auto" w:line="240" w:before="0" w:after="0"/>
        <w:rPr>
          <w:rFonts w:ascii="Arial" w:hAnsi="Arial" w:eastAsia="Times New Roman" w:cs="Arial"/>
        </w:rPr>
      </w:pPr>
      <w:r>
        <w:rPr>
          <w:rFonts w:ascii="Arial" w:hAnsi="Arial"/>
        </w:rPr>
        <w:t>Árachas ‘bás le linn seirbhíse’/saoil.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rPr>
          <w:rFonts w:ascii="Arial" w:hAnsi="Arial" w:eastAsia="Times New Roman" w:cs="Arial"/>
        </w:rPr>
      </w:pPr>
      <w:r>
        <w:rPr>
          <w:rFonts w:ascii="Arial" w:hAnsi="Arial"/>
        </w:rPr>
        <w:t>Asbhaintí Pinsin / PRSA.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 w:ascii="Times New Roman" w:hAnsi="Times New Roman"/>
          <w:sz w:val="24"/>
          <w:szCs w:val="24"/>
          <w:lang w:val="en-IE" w:eastAsia="en-IE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Open San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ga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ga-I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110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ga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a1100"/>
    <w:rPr>
      <w:rFonts w:ascii="Segoe UI" w:hAnsi="Segoe UI" w:cs="Segoe UI"/>
      <w:sz w:val="18"/>
      <w:szCs w:val="18"/>
      <w:lang w:val="ga-IE"/>
    </w:rPr>
  </w:style>
  <w:style w:type="character" w:styleId="InternetLink">
    <w:name w:val="Hyperlink"/>
    <w:basedOn w:val="DefaultParagraphFont"/>
    <w:uiPriority w:val="99"/>
    <w:unhideWhenUsed/>
    <w:rsid w:val="002e653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e6533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11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b37e3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ga-I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r@eirecomposites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LibreOffice/7.1.6.2$Windows_X86_64 LibreOffice_project/0e133318fcee89abacd6a7d077e292f1145735c3</Application>
  <AppVersion>15.0000</AppVersion>
  <Pages>3</Pages>
  <Words>767</Words>
  <Characters>4614</Characters>
  <CharactersWithSpaces>5325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2021-12-15T19:35:00Z</dcterms:created>
  <dc:creator>Mark McKeigue</dc:creator>
  <dc:description/>
  <dc:language>en-IE</dc:language>
  <cp:lastModifiedBy/>
  <dcterms:modified xsi:type="dcterms:W3CDTF">2021-12-15T19:40:36Z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